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033" w:rsidRDefault="00E22033" w:rsidP="00013CF6">
      <w:pPr>
        <w:jc w:val="center"/>
      </w:pPr>
      <w:bookmarkStart w:id="0" w:name="_Toc404536285"/>
    </w:p>
    <w:p w:rsidR="00E22033" w:rsidRDefault="00E22033" w:rsidP="00013CF6">
      <w:pPr>
        <w:jc w:val="center"/>
      </w:pPr>
    </w:p>
    <w:p w:rsidR="00E22033" w:rsidRDefault="00E22033" w:rsidP="00013CF6">
      <w:pPr>
        <w:jc w:val="center"/>
      </w:pPr>
    </w:p>
    <w:p w:rsidR="00E22033" w:rsidRDefault="00E22033" w:rsidP="00013CF6">
      <w:pPr>
        <w:jc w:val="center"/>
      </w:pPr>
    </w:p>
    <w:p w:rsidR="00E22033" w:rsidRDefault="00E22033" w:rsidP="00013CF6">
      <w:pPr>
        <w:jc w:val="center"/>
      </w:pPr>
    </w:p>
    <w:p w:rsidR="00E22033" w:rsidRDefault="00E22033" w:rsidP="00013CF6">
      <w:pPr>
        <w:jc w:val="center"/>
      </w:pPr>
    </w:p>
    <w:p w:rsidR="00E22033" w:rsidRDefault="00E22033" w:rsidP="00013CF6">
      <w:pPr>
        <w:jc w:val="center"/>
      </w:pPr>
    </w:p>
    <w:p w:rsidR="00E22033" w:rsidRDefault="00E22033" w:rsidP="00013CF6">
      <w:pPr>
        <w:jc w:val="center"/>
      </w:pPr>
    </w:p>
    <w:p w:rsidR="00E22033" w:rsidRPr="00011799" w:rsidRDefault="00E22033" w:rsidP="00013CF6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</w:p>
    <w:p w:rsidR="00013CF6" w:rsidRPr="00011799" w:rsidRDefault="00011799" w:rsidP="00013CF6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 xml:space="preserve"> </w:t>
      </w:r>
      <w:r w:rsidR="0053028E">
        <w:rPr>
          <w:rFonts w:asciiTheme="majorEastAsia" w:eastAsiaTheme="majorEastAsia" w:hAnsiTheme="majorEastAsia" w:hint="eastAsia"/>
          <w:b/>
          <w:sz w:val="40"/>
          <w:szCs w:val="40"/>
        </w:rPr>
        <w:t xml:space="preserve"> </w:t>
      </w:r>
      <w:r w:rsidR="00013CF6" w:rsidRPr="00011799">
        <w:rPr>
          <w:rFonts w:asciiTheme="majorEastAsia" w:eastAsiaTheme="majorEastAsia" w:hAnsiTheme="majorEastAsia" w:hint="eastAsia"/>
          <w:b/>
          <w:sz w:val="40"/>
          <w:szCs w:val="40"/>
        </w:rPr>
        <w:t>保险资金运用内部控制应用指引第</w:t>
      </w:r>
      <w:r w:rsidR="0064175C" w:rsidRPr="00011799">
        <w:rPr>
          <w:rFonts w:asciiTheme="majorEastAsia" w:eastAsiaTheme="majorEastAsia" w:hAnsiTheme="majorEastAsia" w:hint="eastAsia"/>
          <w:b/>
          <w:sz w:val="40"/>
          <w:szCs w:val="40"/>
        </w:rPr>
        <w:t>2</w:t>
      </w:r>
      <w:r w:rsidR="00013CF6" w:rsidRPr="00011799">
        <w:rPr>
          <w:rFonts w:asciiTheme="majorEastAsia" w:eastAsiaTheme="majorEastAsia" w:hAnsiTheme="majorEastAsia" w:hint="eastAsia"/>
          <w:b/>
          <w:sz w:val="40"/>
          <w:szCs w:val="40"/>
        </w:rPr>
        <w:t>号——</w:t>
      </w:r>
      <w:r w:rsidR="00682FC9" w:rsidRPr="00011799">
        <w:rPr>
          <w:rFonts w:asciiTheme="majorEastAsia" w:eastAsiaTheme="majorEastAsia" w:hAnsiTheme="majorEastAsia" w:hint="eastAsia"/>
          <w:b/>
          <w:sz w:val="40"/>
          <w:szCs w:val="40"/>
        </w:rPr>
        <w:t>固定收益投资</w:t>
      </w:r>
      <w:r w:rsidR="00D051D3">
        <w:rPr>
          <w:rFonts w:asciiTheme="majorEastAsia" w:eastAsiaTheme="majorEastAsia" w:hAnsiTheme="majorEastAsia" w:hint="eastAsia"/>
          <w:b/>
          <w:sz w:val="40"/>
          <w:szCs w:val="40"/>
        </w:rPr>
        <w:t xml:space="preserve">                           (征求意见稿)</w:t>
      </w:r>
    </w:p>
    <w:p w:rsidR="00011799" w:rsidRPr="00011799" w:rsidRDefault="00011799" w:rsidP="00013CF6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</w:p>
    <w:p w:rsidR="00011799" w:rsidRPr="00011799" w:rsidRDefault="00011799" w:rsidP="00013CF6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</w:p>
    <w:p w:rsidR="00011799" w:rsidRPr="00011799" w:rsidRDefault="00011799" w:rsidP="00013CF6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</w:p>
    <w:p w:rsidR="00011799" w:rsidRPr="00011799" w:rsidRDefault="00011799" w:rsidP="00013CF6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</w:p>
    <w:p w:rsidR="00EA71D4" w:rsidRPr="00011799" w:rsidRDefault="0064175C" w:rsidP="00013CF6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011799">
        <w:rPr>
          <w:rFonts w:asciiTheme="majorEastAsia" w:eastAsiaTheme="majorEastAsia" w:hAnsiTheme="majorEastAsia"/>
          <w:b/>
          <w:sz w:val="40"/>
          <w:szCs w:val="40"/>
        </w:rPr>
        <w:t>201</w:t>
      </w:r>
      <w:r w:rsidRPr="00011799">
        <w:rPr>
          <w:rFonts w:asciiTheme="majorEastAsia" w:eastAsiaTheme="majorEastAsia" w:hAnsiTheme="majorEastAsia" w:hint="eastAsia"/>
          <w:b/>
          <w:sz w:val="40"/>
          <w:szCs w:val="40"/>
        </w:rPr>
        <w:t>5</w:t>
      </w:r>
      <w:r w:rsidR="00EA71D4" w:rsidRPr="00011799">
        <w:rPr>
          <w:rFonts w:asciiTheme="majorEastAsia" w:eastAsiaTheme="majorEastAsia" w:hAnsiTheme="majorEastAsia"/>
          <w:b/>
          <w:sz w:val="40"/>
          <w:szCs w:val="40"/>
        </w:rPr>
        <w:t>年</w:t>
      </w:r>
      <w:r w:rsidR="00A819B6">
        <w:rPr>
          <w:rFonts w:asciiTheme="majorEastAsia" w:eastAsiaTheme="majorEastAsia" w:hAnsiTheme="majorEastAsia" w:hint="eastAsia"/>
          <w:b/>
          <w:sz w:val="40"/>
          <w:szCs w:val="40"/>
        </w:rPr>
        <w:t>9</w:t>
      </w:r>
      <w:r w:rsidR="00EA71D4" w:rsidRPr="00011799">
        <w:rPr>
          <w:rFonts w:asciiTheme="majorEastAsia" w:eastAsiaTheme="majorEastAsia" w:hAnsiTheme="majorEastAsia"/>
          <w:b/>
          <w:sz w:val="40"/>
          <w:szCs w:val="40"/>
        </w:rPr>
        <w:t>月</w:t>
      </w:r>
    </w:p>
    <w:p w:rsidR="00EA71D4" w:rsidRDefault="00EA71D4">
      <w:pPr>
        <w:rPr>
          <w:rFonts w:ascii="宋体" w:eastAsia="宋体" w:hAnsi="宋体"/>
          <w:color w:val="000000" w:themeColor="text1"/>
          <w:sz w:val="36"/>
          <w:szCs w:val="21"/>
        </w:rPr>
      </w:pPr>
      <w:r>
        <w:rPr>
          <w:rFonts w:ascii="宋体" w:eastAsia="宋体" w:hAnsi="宋体"/>
          <w:color w:val="000000" w:themeColor="text1"/>
          <w:sz w:val="36"/>
          <w:szCs w:val="21"/>
        </w:rPr>
        <w:br w:type="page"/>
      </w:r>
    </w:p>
    <w:p w:rsidR="001819E6" w:rsidRDefault="003540BD" w:rsidP="00D051D3">
      <w:pPr>
        <w:pStyle w:val="1"/>
        <w:spacing w:before="0" w:afterLines="50" w:line="360" w:lineRule="auto"/>
        <w:jc w:val="center"/>
        <w:rPr>
          <w:rFonts w:ascii="宋体" w:eastAsia="宋体" w:hAnsi="宋体"/>
          <w:color w:val="000000" w:themeColor="text1"/>
          <w:szCs w:val="21"/>
        </w:rPr>
      </w:pPr>
      <w:bookmarkStart w:id="1" w:name="_Toc408578700"/>
      <w:bookmarkEnd w:id="0"/>
      <w:r>
        <w:rPr>
          <w:rFonts w:ascii="宋体" w:eastAsia="宋体" w:hAnsi="宋体" w:hint="eastAsia"/>
          <w:color w:val="000000" w:themeColor="text1"/>
          <w:szCs w:val="21"/>
        </w:rPr>
        <w:lastRenderedPageBreak/>
        <w:t>第一节</w:t>
      </w:r>
      <w:r w:rsidR="00DD14D4">
        <w:rPr>
          <w:rFonts w:ascii="宋体" w:eastAsia="宋体" w:hAnsi="宋体" w:hint="eastAsia"/>
          <w:color w:val="000000" w:themeColor="text1"/>
          <w:szCs w:val="21"/>
        </w:rPr>
        <w:t xml:space="preserve"> </w:t>
      </w:r>
      <w:r w:rsidR="00220907">
        <w:rPr>
          <w:rFonts w:ascii="宋体" w:eastAsia="宋体" w:hAnsi="宋体" w:hint="eastAsia"/>
          <w:color w:val="000000" w:themeColor="text1"/>
          <w:szCs w:val="21"/>
        </w:rPr>
        <w:t>总则</w:t>
      </w:r>
      <w:bookmarkEnd w:id="1"/>
    </w:p>
    <w:p w:rsidR="00220907" w:rsidRPr="00220907" w:rsidRDefault="00220907" w:rsidP="00220907"/>
    <w:p w:rsidR="00DE620E" w:rsidRPr="009D7EB8" w:rsidRDefault="00524F7D" w:rsidP="00821A70">
      <w:pPr>
        <w:pStyle w:val="a8"/>
        <w:numPr>
          <w:ilvl w:val="0"/>
          <w:numId w:val="21"/>
        </w:numPr>
        <w:tabs>
          <w:tab w:val="left" w:pos="993"/>
        </w:tabs>
        <w:spacing w:after="240" w:line="360" w:lineRule="auto"/>
        <w:rPr>
          <w:rFonts w:ascii="宋体" w:hAnsi="宋体"/>
          <w:color w:val="000000" w:themeColor="text1"/>
          <w:szCs w:val="21"/>
        </w:rPr>
      </w:pPr>
      <w:r w:rsidRPr="009D7EB8">
        <w:rPr>
          <w:rFonts w:ascii="宋体" w:hAnsi="宋体" w:hint="eastAsia"/>
          <w:color w:val="000000" w:themeColor="text1"/>
          <w:szCs w:val="21"/>
        </w:rPr>
        <w:t>为了促进保险资金运用</w:t>
      </w:r>
      <w:r w:rsidR="000D10B3" w:rsidRPr="009D7EB8">
        <w:rPr>
          <w:rFonts w:ascii="宋体" w:hAnsi="宋体" w:hint="eastAsia"/>
          <w:color w:val="000000" w:themeColor="text1"/>
          <w:szCs w:val="21"/>
        </w:rPr>
        <w:t>的规范发展，有效防范和化解</w:t>
      </w:r>
      <w:r w:rsidRPr="009D7EB8">
        <w:rPr>
          <w:rFonts w:ascii="宋体" w:hAnsi="宋体" w:hint="eastAsia"/>
          <w:color w:val="000000" w:themeColor="text1"/>
          <w:szCs w:val="21"/>
        </w:rPr>
        <w:t>风险，维护保险资金运用市场的安全与稳定，依据</w:t>
      </w:r>
      <w:r w:rsidR="00013CF6" w:rsidRPr="009D7EB8">
        <w:rPr>
          <w:rFonts w:ascii="宋体" w:hAnsi="宋体" w:hint="eastAsia"/>
          <w:color w:val="000000" w:themeColor="text1"/>
          <w:szCs w:val="21"/>
        </w:rPr>
        <w:t>国家有关</w:t>
      </w:r>
      <w:r w:rsidRPr="009D7EB8">
        <w:rPr>
          <w:rFonts w:ascii="宋体" w:hAnsi="宋体" w:hint="eastAsia"/>
          <w:color w:val="000000" w:themeColor="text1"/>
          <w:szCs w:val="21"/>
        </w:rPr>
        <w:t>法律法规</w:t>
      </w:r>
      <w:r w:rsidR="00013CF6" w:rsidRPr="009D7EB8">
        <w:rPr>
          <w:rFonts w:ascii="宋体" w:hAnsi="宋体" w:hint="eastAsia"/>
          <w:color w:val="000000" w:themeColor="text1"/>
          <w:szCs w:val="21"/>
        </w:rPr>
        <w:t>和《保险资金运用内部控制指引》</w:t>
      </w:r>
      <w:r w:rsidRPr="009D7EB8">
        <w:rPr>
          <w:rFonts w:ascii="宋体" w:hAnsi="宋体" w:hint="eastAsia"/>
          <w:color w:val="000000" w:themeColor="text1"/>
          <w:szCs w:val="21"/>
        </w:rPr>
        <w:t>，特制定本指引。</w:t>
      </w:r>
    </w:p>
    <w:p w:rsidR="00796EE9" w:rsidRPr="009D7EB8" w:rsidRDefault="00013CF6" w:rsidP="00821A70">
      <w:pPr>
        <w:pStyle w:val="a8"/>
        <w:numPr>
          <w:ilvl w:val="0"/>
          <w:numId w:val="21"/>
        </w:numPr>
        <w:tabs>
          <w:tab w:val="left" w:pos="993"/>
        </w:tabs>
        <w:spacing w:after="240" w:line="360" w:lineRule="auto"/>
        <w:rPr>
          <w:rFonts w:ascii="宋体" w:hAnsi="宋体"/>
          <w:color w:val="000000" w:themeColor="text1"/>
          <w:szCs w:val="21"/>
        </w:rPr>
      </w:pPr>
      <w:r w:rsidRPr="009D7EB8">
        <w:rPr>
          <w:rFonts w:ascii="宋体" w:hAnsi="宋体" w:hint="eastAsia"/>
          <w:color w:val="000000" w:themeColor="text1"/>
          <w:szCs w:val="21"/>
        </w:rPr>
        <w:t>本指引所指</w:t>
      </w:r>
      <w:r w:rsidR="00582302" w:rsidRPr="009D7EB8">
        <w:rPr>
          <w:rFonts w:ascii="宋体" w:hAnsi="宋体" w:hint="eastAsia"/>
          <w:color w:val="000000" w:themeColor="text1"/>
          <w:szCs w:val="21"/>
        </w:rPr>
        <w:t>固定收益投资</w:t>
      </w:r>
      <w:r w:rsidRPr="009D7EB8">
        <w:rPr>
          <w:rFonts w:ascii="宋体" w:hAnsi="宋体" w:hint="eastAsia"/>
          <w:color w:val="000000" w:themeColor="text1"/>
          <w:szCs w:val="21"/>
        </w:rPr>
        <w:t>，是指</w:t>
      </w:r>
      <w:r w:rsidR="0092480A" w:rsidRPr="009D7EB8">
        <w:rPr>
          <w:rFonts w:ascii="宋体" w:hAnsi="宋体" w:hint="eastAsia"/>
          <w:color w:val="000000" w:themeColor="text1"/>
          <w:szCs w:val="21"/>
        </w:rPr>
        <w:t>保险机构</w:t>
      </w:r>
      <w:r w:rsidR="009B14E6" w:rsidRPr="009D7EB8">
        <w:rPr>
          <w:rFonts w:ascii="宋体" w:hAnsi="宋体" w:hint="eastAsia"/>
          <w:color w:val="000000" w:themeColor="text1"/>
          <w:szCs w:val="21"/>
        </w:rPr>
        <w:t>投资具有明确存续到期时间、按照预定的利率和形式偿付利息和本金等特征的资产</w:t>
      </w:r>
      <w:r w:rsidR="000D10B3" w:rsidRPr="009D7EB8">
        <w:rPr>
          <w:rFonts w:ascii="宋体" w:hAnsi="宋体"/>
          <w:color w:val="000000" w:themeColor="text1"/>
          <w:szCs w:val="21"/>
        </w:rPr>
        <w:t>，</w:t>
      </w:r>
      <w:r w:rsidR="008E48DD" w:rsidRPr="009D7EB8">
        <w:rPr>
          <w:rFonts w:ascii="宋体" w:hAnsi="宋体" w:hint="eastAsia"/>
          <w:color w:val="000000" w:themeColor="text1"/>
          <w:szCs w:val="21"/>
        </w:rPr>
        <w:t>以及主要价值依赖于上述资产价值变动的资产</w:t>
      </w:r>
      <w:r w:rsidR="00CB14DE">
        <w:rPr>
          <w:rFonts w:ascii="宋体" w:hAnsi="宋体" w:hint="eastAsia"/>
          <w:color w:val="000000" w:themeColor="text1"/>
          <w:szCs w:val="21"/>
        </w:rPr>
        <w:t>，</w:t>
      </w:r>
      <w:r w:rsidR="000C02B1" w:rsidRPr="009D7EB8">
        <w:rPr>
          <w:rFonts w:ascii="宋体" w:hAnsi="宋体" w:hint="eastAsia"/>
          <w:color w:val="000000" w:themeColor="text1"/>
          <w:szCs w:val="21"/>
        </w:rPr>
        <w:t>包括债券</w:t>
      </w:r>
      <w:r w:rsidR="00E22033" w:rsidRPr="009D7EB8">
        <w:rPr>
          <w:rFonts w:ascii="宋体" w:hAnsi="宋体" w:hint="eastAsia"/>
          <w:color w:val="000000" w:themeColor="text1"/>
          <w:szCs w:val="21"/>
        </w:rPr>
        <w:t>及其他</w:t>
      </w:r>
      <w:r w:rsidR="000C02B1" w:rsidRPr="009D7EB8">
        <w:rPr>
          <w:rFonts w:ascii="宋体" w:hAnsi="宋体" w:hint="eastAsia"/>
          <w:color w:val="000000" w:themeColor="text1"/>
          <w:szCs w:val="21"/>
        </w:rPr>
        <w:t>符合《保险资金运用管理暂行办法》的各类固定收益投资</w:t>
      </w:r>
      <w:r w:rsidR="00796EE9" w:rsidRPr="009D7EB8">
        <w:rPr>
          <w:rFonts w:ascii="宋体" w:hAnsi="宋体" w:hint="eastAsia"/>
          <w:color w:val="000000" w:themeColor="text1"/>
          <w:szCs w:val="21"/>
        </w:rPr>
        <w:t>。</w:t>
      </w:r>
    </w:p>
    <w:p w:rsidR="00524F7D" w:rsidRPr="009D7EB8" w:rsidRDefault="0092480A" w:rsidP="00821A70">
      <w:pPr>
        <w:pStyle w:val="a8"/>
        <w:numPr>
          <w:ilvl w:val="0"/>
          <w:numId w:val="21"/>
        </w:numPr>
        <w:tabs>
          <w:tab w:val="left" w:pos="993"/>
          <w:tab w:val="left" w:pos="1276"/>
        </w:tabs>
        <w:spacing w:after="240" w:line="360" w:lineRule="auto"/>
        <w:rPr>
          <w:rFonts w:ascii="宋体" w:hAnsi="宋体"/>
          <w:color w:val="000000" w:themeColor="text1"/>
          <w:szCs w:val="21"/>
        </w:rPr>
      </w:pPr>
      <w:r w:rsidRPr="009D7EB8">
        <w:rPr>
          <w:rFonts w:ascii="宋体" w:hAnsi="宋体" w:hint="eastAsia"/>
          <w:color w:val="000000" w:themeColor="text1"/>
          <w:szCs w:val="21"/>
        </w:rPr>
        <w:t>保险机构</w:t>
      </w:r>
      <w:r w:rsidR="008A718A" w:rsidRPr="009D7EB8">
        <w:rPr>
          <w:rFonts w:ascii="宋体" w:hAnsi="宋体" w:hint="eastAsia"/>
          <w:color w:val="000000" w:themeColor="text1"/>
          <w:szCs w:val="21"/>
        </w:rPr>
        <w:t>应至少关注涉及</w:t>
      </w:r>
      <w:r w:rsidR="00582302" w:rsidRPr="009D7EB8">
        <w:rPr>
          <w:rFonts w:ascii="宋体" w:hAnsi="宋体" w:hint="eastAsia"/>
          <w:color w:val="000000" w:themeColor="text1"/>
          <w:szCs w:val="21"/>
        </w:rPr>
        <w:t>固定收益投资</w:t>
      </w:r>
      <w:r w:rsidR="008A718A" w:rsidRPr="009D7EB8">
        <w:rPr>
          <w:rFonts w:ascii="宋体" w:hAnsi="宋体" w:hint="eastAsia"/>
          <w:color w:val="000000" w:themeColor="text1"/>
          <w:szCs w:val="21"/>
        </w:rPr>
        <w:t>的下列风险：</w:t>
      </w:r>
    </w:p>
    <w:p w:rsidR="0092480A" w:rsidRPr="004C3D21" w:rsidRDefault="0092480A" w:rsidP="0092480A">
      <w:pPr>
        <w:spacing w:line="360" w:lineRule="auto"/>
        <w:ind w:firstLineChars="200" w:firstLine="480"/>
        <w:rPr>
          <w:rFonts w:ascii="Arial" w:eastAsia="宋体" w:hAnsi="宋体" w:cs="Arial"/>
          <w:sz w:val="24"/>
          <w:szCs w:val="24"/>
        </w:rPr>
      </w:pPr>
      <w:r w:rsidRPr="004C3D21">
        <w:rPr>
          <w:rFonts w:ascii="Arial" w:eastAsia="宋体" w:hAnsi="宋体" w:cs="Arial" w:hint="eastAsia"/>
          <w:sz w:val="24"/>
          <w:szCs w:val="24"/>
        </w:rPr>
        <w:t>（一）</w:t>
      </w:r>
      <w:r>
        <w:rPr>
          <w:rFonts w:ascii="Arial" w:eastAsia="宋体" w:hAnsi="宋体" w:cs="Arial" w:hint="eastAsia"/>
          <w:sz w:val="24"/>
          <w:szCs w:val="24"/>
        </w:rPr>
        <w:t>投资范围和投资产品的合规风险。</w:t>
      </w:r>
    </w:p>
    <w:p w:rsidR="0092480A" w:rsidRPr="004C3D21" w:rsidRDefault="0092480A" w:rsidP="0092480A">
      <w:pPr>
        <w:spacing w:line="360" w:lineRule="auto"/>
        <w:ind w:firstLineChars="200" w:firstLine="480"/>
        <w:rPr>
          <w:rFonts w:ascii="Arial" w:eastAsia="宋体" w:hAnsi="宋体" w:cs="Arial"/>
          <w:sz w:val="24"/>
          <w:szCs w:val="24"/>
        </w:rPr>
      </w:pPr>
      <w:r w:rsidRPr="004C3D21">
        <w:rPr>
          <w:rFonts w:ascii="Arial" w:eastAsia="宋体" w:hAnsi="宋体" w:cs="Arial" w:hint="eastAsia"/>
          <w:sz w:val="24"/>
          <w:szCs w:val="24"/>
        </w:rPr>
        <w:t>（二）</w:t>
      </w:r>
      <w:r>
        <w:rPr>
          <w:rFonts w:ascii="Arial" w:eastAsia="宋体" w:hAnsi="宋体" w:cs="Arial" w:hint="eastAsia"/>
          <w:sz w:val="24"/>
          <w:szCs w:val="24"/>
        </w:rPr>
        <w:t>固定收益产品及交易对手信用风险。</w:t>
      </w:r>
    </w:p>
    <w:p w:rsidR="0092480A" w:rsidRPr="002B689F" w:rsidRDefault="0092480A" w:rsidP="0092480A">
      <w:pPr>
        <w:spacing w:line="360" w:lineRule="auto"/>
        <w:ind w:firstLineChars="200" w:firstLine="480"/>
        <w:rPr>
          <w:rFonts w:ascii="Arial" w:eastAsia="宋体" w:hAnsi="Arial" w:cs="Arial"/>
          <w:sz w:val="24"/>
          <w:szCs w:val="24"/>
        </w:rPr>
      </w:pPr>
      <w:r w:rsidRPr="002B689F">
        <w:rPr>
          <w:rFonts w:ascii="Arial" w:eastAsia="宋体" w:hAnsi="宋体" w:cs="Arial"/>
          <w:sz w:val="24"/>
          <w:szCs w:val="24"/>
        </w:rPr>
        <w:t>（三）</w:t>
      </w:r>
      <w:r>
        <w:rPr>
          <w:rFonts w:ascii="Arial" w:eastAsia="宋体" w:hAnsi="宋体" w:cs="Arial" w:hint="eastAsia"/>
          <w:sz w:val="24"/>
          <w:szCs w:val="24"/>
        </w:rPr>
        <w:t>投资决策风险</w:t>
      </w:r>
      <w:r w:rsidRPr="002B689F">
        <w:rPr>
          <w:rFonts w:ascii="Arial" w:eastAsia="宋体" w:hAnsi="宋体" w:cs="Arial"/>
          <w:sz w:val="24"/>
          <w:szCs w:val="24"/>
        </w:rPr>
        <w:t>。</w:t>
      </w:r>
    </w:p>
    <w:p w:rsidR="0092480A" w:rsidRPr="002B689F" w:rsidRDefault="0092480A" w:rsidP="0092480A">
      <w:pPr>
        <w:spacing w:line="360" w:lineRule="auto"/>
        <w:ind w:firstLineChars="200" w:firstLine="480"/>
        <w:rPr>
          <w:rFonts w:ascii="Arial" w:eastAsia="宋体" w:hAnsi="Arial" w:cs="Arial"/>
          <w:sz w:val="24"/>
          <w:szCs w:val="24"/>
        </w:rPr>
      </w:pPr>
      <w:r w:rsidRPr="002B689F">
        <w:rPr>
          <w:rFonts w:ascii="Arial" w:eastAsia="宋体" w:hAnsi="宋体" w:cs="Arial"/>
          <w:sz w:val="24"/>
          <w:szCs w:val="24"/>
        </w:rPr>
        <w:t>（四）</w:t>
      </w:r>
      <w:r>
        <w:rPr>
          <w:rFonts w:ascii="Arial" w:eastAsia="宋体" w:hAnsi="宋体" w:cs="Arial" w:hint="eastAsia"/>
          <w:sz w:val="24"/>
          <w:szCs w:val="24"/>
        </w:rPr>
        <w:t>交易执行及投后管理风险</w:t>
      </w:r>
      <w:r w:rsidRPr="002B689F">
        <w:rPr>
          <w:rFonts w:ascii="Arial" w:eastAsia="宋体" w:hAnsi="宋体" w:cs="Arial"/>
          <w:sz w:val="24"/>
          <w:szCs w:val="24"/>
        </w:rPr>
        <w:t>。</w:t>
      </w:r>
    </w:p>
    <w:p w:rsidR="00DE620E" w:rsidRPr="0092480A" w:rsidRDefault="0092480A" w:rsidP="0092480A">
      <w:pPr>
        <w:spacing w:line="360" w:lineRule="auto"/>
        <w:ind w:firstLineChars="200" w:firstLine="480"/>
        <w:rPr>
          <w:rFonts w:ascii="Arial" w:eastAsia="宋体" w:hAnsi="宋体" w:cs="Arial"/>
          <w:sz w:val="24"/>
          <w:szCs w:val="24"/>
        </w:rPr>
      </w:pPr>
      <w:r w:rsidRPr="002B689F">
        <w:rPr>
          <w:rFonts w:ascii="Arial" w:eastAsia="宋体" w:hAnsi="宋体" w:cs="Arial"/>
          <w:sz w:val="24"/>
          <w:szCs w:val="24"/>
        </w:rPr>
        <w:t>（五）</w:t>
      </w:r>
      <w:r w:rsidRPr="00307F17">
        <w:rPr>
          <w:rFonts w:ascii="宋体" w:eastAsia="宋体" w:hAnsi="宋体" w:hint="eastAsia"/>
          <w:color w:val="000000" w:themeColor="text1"/>
          <w:sz w:val="24"/>
          <w:szCs w:val="21"/>
        </w:rPr>
        <w:t>财务报告</w:t>
      </w:r>
      <w:r>
        <w:rPr>
          <w:rFonts w:ascii="宋体" w:eastAsia="宋体" w:hAnsi="宋体" w:hint="eastAsia"/>
          <w:color w:val="000000" w:themeColor="text1"/>
          <w:sz w:val="24"/>
          <w:szCs w:val="21"/>
        </w:rPr>
        <w:t>及信息披露风险</w:t>
      </w:r>
      <w:r w:rsidRPr="00307F17">
        <w:rPr>
          <w:rFonts w:ascii="宋体" w:eastAsia="宋体" w:hAnsi="宋体" w:hint="eastAsia"/>
          <w:color w:val="000000" w:themeColor="text1"/>
          <w:sz w:val="24"/>
          <w:szCs w:val="21"/>
        </w:rPr>
        <w:t>。</w:t>
      </w:r>
    </w:p>
    <w:p w:rsidR="0092480A" w:rsidRPr="009D7EB8" w:rsidRDefault="004C3D21" w:rsidP="00821A70">
      <w:pPr>
        <w:pStyle w:val="a8"/>
        <w:numPr>
          <w:ilvl w:val="0"/>
          <w:numId w:val="21"/>
        </w:numPr>
        <w:tabs>
          <w:tab w:val="left" w:pos="993"/>
          <w:tab w:val="left" w:pos="1276"/>
        </w:tabs>
        <w:spacing w:after="240" w:line="360" w:lineRule="auto"/>
        <w:rPr>
          <w:rFonts w:ascii="宋体" w:hAnsi="宋体"/>
          <w:b/>
          <w:color w:val="000000" w:themeColor="text1"/>
          <w:szCs w:val="21"/>
        </w:rPr>
      </w:pPr>
      <w:r w:rsidRPr="009D7EB8">
        <w:rPr>
          <w:rFonts w:ascii="宋体" w:hAnsi="宋体" w:hint="eastAsia"/>
          <w:color w:val="000000" w:themeColor="text1"/>
          <w:szCs w:val="21"/>
        </w:rPr>
        <w:t>保险</w:t>
      </w:r>
      <w:r w:rsidR="0092480A" w:rsidRPr="009D7EB8">
        <w:rPr>
          <w:rFonts w:ascii="宋体" w:hAnsi="宋体" w:hint="eastAsia"/>
          <w:color w:val="000000" w:themeColor="text1"/>
          <w:szCs w:val="21"/>
        </w:rPr>
        <w:t>机构应建立明确的决策与授权机制，严谨高效的业务操作流程，完善的风险控制制度、风险处置预案和责任追究制度</w:t>
      </w:r>
      <w:r w:rsidR="00927E0D" w:rsidRPr="009D7EB8">
        <w:rPr>
          <w:rFonts w:ascii="宋体" w:hAnsi="宋体" w:hint="eastAsia"/>
          <w:color w:val="000000" w:themeColor="text1"/>
          <w:szCs w:val="21"/>
        </w:rPr>
        <w:t>，明确投资决策、交易执行、投资后管理、信息披露等环节的内部控制要求。</w:t>
      </w:r>
    </w:p>
    <w:p w:rsidR="00220907" w:rsidRDefault="00220907" w:rsidP="00307F17">
      <w:pPr>
        <w:spacing w:after="240" w:line="360" w:lineRule="auto"/>
        <w:rPr>
          <w:rFonts w:ascii="宋体" w:eastAsia="宋体" w:hAnsi="宋体"/>
          <w:color w:val="000000" w:themeColor="text1"/>
          <w:sz w:val="24"/>
          <w:szCs w:val="21"/>
        </w:rPr>
      </w:pPr>
    </w:p>
    <w:p w:rsidR="001819E6" w:rsidRDefault="00220907" w:rsidP="00D051D3">
      <w:pPr>
        <w:pStyle w:val="1"/>
        <w:spacing w:before="0" w:afterLines="50" w:line="360" w:lineRule="auto"/>
        <w:jc w:val="center"/>
        <w:rPr>
          <w:rFonts w:ascii="宋体" w:eastAsia="宋体" w:hAnsi="宋体"/>
          <w:color w:val="000000" w:themeColor="text1"/>
          <w:szCs w:val="21"/>
        </w:rPr>
      </w:pPr>
      <w:bookmarkStart w:id="2" w:name="_Toc408578701"/>
      <w:r w:rsidRPr="00307F17">
        <w:rPr>
          <w:rFonts w:ascii="宋体" w:eastAsia="宋体" w:hAnsi="宋体" w:hint="eastAsia"/>
          <w:color w:val="000000" w:themeColor="text1"/>
          <w:szCs w:val="21"/>
        </w:rPr>
        <w:t>第</w:t>
      </w:r>
      <w:r w:rsidR="00C82255">
        <w:rPr>
          <w:rFonts w:ascii="宋体" w:eastAsia="宋体" w:hAnsi="宋体" w:hint="eastAsia"/>
          <w:color w:val="000000" w:themeColor="text1"/>
          <w:szCs w:val="21"/>
        </w:rPr>
        <w:t>二</w:t>
      </w:r>
      <w:r w:rsidR="003540BD">
        <w:rPr>
          <w:rFonts w:ascii="宋体" w:eastAsia="宋体" w:hAnsi="宋体" w:hint="eastAsia"/>
          <w:color w:val="000000" w:themeColor="text1"/>
          <w:szCs w:val="21"/>
        </w:rPr>
        <w:t>节</w:t>
      </w:r>
      <w:r w:rsidR="00DD14D4">
        <w:rPr>
          <w:rFonts w:ascii="宋体" w:eastAsia="宋体" w:hAnsi="宋体" w:hint="eastAsia"/>
          <w:color w:val="000000" w:themeColor="text1"/>
          <w:szCs w:val="21"/>
        </w:rPr>
        <w:t xml:space="preserve"> </w:t>
      </w:r>
      <w:r w:rsidR="00C82255">
        <w:rPr>
          <w:rFonts w:ascii="宋体" w:eastAsia="宋体" w:hAnsi="宋体" w:hint="eastAsia"/>
          <w:color w:val="000000" w:themeColor="text1"/>
          <w:szCs w:val="21"/>
        </w:rPr>
        <w:t>职责分工与授权批准</w:t>
      </w:r>
      <w:bookmarkEnd w:id="2"/>
    </w:p>
    <w:p w:rsidR="00CA4C38" w:rsidRPr="009D7EB8" w:rsidRDefault="00CA4C38" w:rsidP="00821A70">
      <w:pPr>
        <w:pStyle w:val="a8"/>
        <w:numPr>
          <w:ilvl w:val="0"/>
          <w:numId w:val="21"/>
        </w:numPr>
        <w:tabs>
          <w:tab w:val="left" w:pos="993"/>
        </w:tabs>
        <w:spacing w:after="240" w:line="360" w:lineRule="auto"/>
        <w:rPr>
          <w:rFonts w:ascii="宋体" w:hAnsi="宋体"/>
          <w:color w:val="000000" w:themeColor="text1"/>
          <w:szCs w:val="21"/>
        </w:rPr>
      </w:pPr>
      <w:r w:rsidRPr="009D7EB8">
        <w:rPr>
          <w:rFonts w:ascii="宋体" w:hAnsi="宋体" w:hint="eastAsia"/>
          <w:color w:val="000000" w:themeColor="text1"/>
          <w:szCs w:val="21"/>
        </w:rPr>
        <w:t>保险</w:t>
      </w:r>
      <w:r w:rsidR="00927E0D" w:rsidRPr="009D7EB8">
        <w:rPr>
          <w:rFonts w:ascii="宋体" w:hAnsi="宋体" w:hint="eastAsia"/>
          <w:color w:val="000000" w:themeColor="text1"/>
          <w:szCs w:val="21"/>
        </w:rPr>
        <w:t>机构</w:t>
      </w:r>
      <w:r w:rsidRPr="009D7EB8">
        <w:rPr>
          <w:rFonts w:ascii="宋体" w:hAnsi="宋体" w:hint="eastAsia"/>
          <w:color w:val="000000" w:themeColor="text1"/>
          <w:szCs w:val="21"/>
        </w:rPr>
        <w:t>应当</w:t>
      </w:r>
      <w:r w:rsidR="008C6ACE" w:rsidRPr="009D7EB8">
        <w:rPr>
          <w:rFonts w:ascii="宋体" w:hAnsi="宋体" w:hint="eastAsia"/>
          <w:color w:val="000000" w:themeColor="text1"/>
          <w:szCs w:val="21"/>
        </w:rPr>
        <w:t>建立</w:t>
      </w:r>
      <w:r w:rsidRPr="009D7EB8">
        <w:rPr>
          <w:rFonts w:ascii="宋体" w:hAnsi="宋体" w:hint="eastAsia"/>
          <w:color w:val="000000" w:themeColor="text1"/>
          <w:szCs w:val="21"/>
        </w:rPr>
        <w:t>固定收益投资业务的岗位责任制，明确相关部门和岗位的职责权限，</w:t>
      </w:r>
      <w:r w:rsidR="0057205B" w:rsidRPr="009D7EB8">
        <w:rPr>
          <w:rFonts w:ascii="宋体" w:hAnsi="宋体" w:hint="eastAsia"/>
          <w:color w:val="000000" w:themeColor="text1"/>
          <w:szCs w:val="21"/>
        </w:rPr>
        <w:t>建立资产托管、集中交易和防火墙机制，</w:t>
      </w:r>
      <w:r w:rsidR="00927E0D" w:rsidRPr="009D7EB8">
        <w:rPr>
          <w:rFonts w:ascii="宋体" w:hAnsi="宋体" w:hint="eastAsia"/>
          <w:color w:val="000000" w:themeColor="text1"/>
          <w:szCs w:val="21"/>
        </w:rPr>
        <w:t>严格分离投资前、中、后台岗位责任，</w:t>
      </w:r>
      <w:r w:rsidRPr="009D7EB8">
        <w:rPr>
          <w:rFonts w:ascii="宋体" w:hAnsi="宋体" w:hint="eastAsia"/>
          <w:color w:val="000000" w:themeColor="text1"/>
          <w:szCs w:val="21"/>
        </w:rPr>
        <w:t>确保固定收益投资业务的不相容岗位相互分离、制约和监督。</w:t>
      </w:r>
    </w:p>
    <w:p w:rsidR="00CA4C38" w:rsidRDefault="00CA4C38" w:rsidP="00CA4C38">
      <w:pPr>
        <w:spacing w:after="240" w:line="360" w:lineRule="auto"/>
        <w:rPr>
          <w:rFonts w:ascii="宋体" w:eastAsia="宋体" w:hAnsi="宋体"/>
          <w:color w:val="000000" w:themeColor="text1"/>
          <w:sz w:val="24"/>
          <w:szCs w:val="21"/>
        </w:rPr>
      </w:pPr>
      <w:r>
        <w:rPr>
          <w:rFonts w:ascii="宋体" w:eastAsia="宋体" w:hAnsi="宋体" w:hint="eastAsia"/>
          <w:color w:val="000000" w:themeColor="text1"/>
          <w:sz w:val="24"/>
          <w:szCs w:val="21"/>
        </w:rPr>
        <w:t>固定收益投资业务不相容岗位至少应当包括：</w:t>
      </w:r>
    </w:p>
    <w:p w:rsidR="00CA4C38" w:rsidRDefault="00CA4C38" w:rsidP="00CA4C38">
      <w:pPr>
        <w:spacing w:after="240" w:line="360" w:lineRule="auto"/>
        <w:rPr>
          <w:rFonts w:ascii="宋体" w:eastAsia="宋体" w:hAnsi="宋体"/>
          <w:color w:val="000000" w:themeColor="text1"/>
          <w:sz w:val="24"/>
          <w:szCs w:val="21"/>
        </w:rPr>
      </w:pPr>
      <w:r>
        <w:rPr>
          <w:rFonts w:ascii="宋体" w:eastAsia="宋体" w:hAnsi="宋体" w:hint="eastAsia"/>
          <w:color w:val="000000" w:themeColor="text1"/>
          <w:sz w:val="24"/>
          <w:szCs w:val="21"/>
        </w:rPr>
        <w:lastRenderedPageBreak/>
        <w:t>（一）信用评估及授信研究与固定收益投资指令下达；</w:t>
      </w:r>
    </w:p>
    <w:p w:rsidR="00CA4C38" w:rsidRDefault="00CA4C38" w:rsidP="00CA4C38">
      <w:pPr>
        <w:spacing w:after="240" w:line="360" w:lineRule="auto"/>
        <w:rPr>
          <w:rFonts w:ascii="宋体" w:eastAsia="宋体" w:hAnsi="宋体"/>
          <w:color w:val="000000" w:themeColor="text1"/>
          <w:sz w:val="24"/>
          <w:szCs w:val="21"/>
        </w:rPr>
      </w:pPr>
      <w:r>
        <w:rPr>
          <w:rFonts w:ascii="宋体" w:eastAsia="宋体" w:hAnsi="宋体" w:hint="eastAsia"/>
          <w:color w:val="000000" w:themeColor="text1"/>
          <w:sz w:val="24"/>
          <w:szCs w:val="21"/>
        </w:rPr>
        <w:t>（二）固定收益投资指令下达与</w:t>
      </w:r>
      <w:r w:rsidR="00927E0D">
        <w:rPr>
          <w:rFonts w:ascii="宋体" w:eastAsia="宋体" w:hAnsi="宋体" w:hint="eastAsia"/>
          <w:color w:val="000000" w:themeColor="text1"/>
          <w:sz w:val="24"/>
          <w:szCs w:val="21"/>
        </w:rPr>
        <w:t>交易</w:t>
      </w:r>
      <w:r>
        <w:rPr>
          <w:rFonts w:ascii="宋体" w:eastAsia="宋体" w:hAnsi="宋体" w:hint="eastAsia"/>
          <w:color w:val="000000" w:themeColor="text1"/>
          <w:sz w:val="24"/>
          <w:szCs w:val="21"/>
        </w:rPr>
        <w:t>执行；</w:t>
      </w:r>
    </w:p>
    <w:p w:rsidR="00927E0D" w:rsidRDefault="009E66C3" w:rsidP="00CA4C38">
      <w:pPr>
        <w:spacing w:after="240" w:line="360" w:lineRule="auto"/>
        <w:rPr>
          <w:rFonts w:ascii="宋体" w:eastAsia="宋体" w:hAnsi="宋体"/>
          <w:color w:val="000000" w:themeColor="text1"/>
          <w:sz w:val="24"/>
          <w:szCs w:val="21"/>
        </w:rPr>
      </w:pPr>
      <w:r>
        <w:rPr>
          <w:rFonts w:ascii="宋体" w:eastAsia="宋体" w:hAnsi="宋体" w:hint="eastAsia"/>
          <w:color w:val="000000" w:themeColor="text1"/>
          <w:sz w:val="24"/>
          <w:szCs w:val="21"/>
        </w:rPr>
        <w:t>（三</w:t>
      </w:r>
      <w:r w:rsidR="00927E0D">
        <w:rPr>
          <w:rFonts w:ascii="宋体" w:eastAsia="宋体" w:hAnsi="宋体" w:hint="eastAsia"/>
          <w:color w:val="000000" w:themeColor="text1"/>
          <w:sz w:val="24"/>
          <w:szCs w:val="21"/>
        </w:rPr>
        <w:t>）投资前台与中台</w:t>
      </w:r>
      <w:r w:rsidR="00792267">
        <w:rPr>
          <w:rFonts w:ascii="宋体" w:eastAsia="宋体" w:hAnsi="宋体" w:hint="eastAsia"/>
          <w:color w:val="000000" w:themeColor="text1"/>
          <w:sz w:val="24"/>
          <w:szCs w:val="21"/>
        </w:rPr>
        <w:t>风控、组合管理以及后台清算、核算。</w:t>
      </w:r>
    </w:p>
    <w:p w:rsidR="00AC5664" w:rsidRDefault="00AC5664" w:rsidP="00CA4C38">
      <w:pPr>
        <w:spacing w:after="240" w:line="360" w:lineRule="auto"/>
        <w:rPr>
          <w:rFonts w:ascii="宋体" w:eastAsia="宋体" w:hAnsi="宋体"/>
          <w:color w:val="000000" w:themeColor="text1"/>
          <w:sz w:val="24"/>
          <w:szCs w:val="21"/>
        </w:rPr>
      </w:pPr>
      <w:r w:rsidRPr="00AC5664">
        <w:rPr>
          <w:rFonts w:ascii="宋体" w:eastAsia="宋体" w:hAnsi="宋体" w:hint="eastAsia"/>
          <w:color w:val="000000" w:themeColor="text1"/>
          <w:sz w:val="24"/>
          <w:szCs w:val="21"/>
        </w:rPr>
        <w:t>（</w:t>
      </w:r>
      <w:r w:rsidR="009E66C3">
        <w:rPr>
          <w:rFonts w:ascii="宋体" w:eastAsia="宋体" w:hAnsi="宋体" w:hint="eastAsia"/>
          <w:color w:val="000000" w:themeColor="text1"/>
          <w:sz w:val="24"/>
          <w:szCs w:val="21"/>
        </w:rPr>
        <w:t>四</w:t>
      </w:r>
      <w:r w:rsidRPr="00AC5664">
        <w:rPr>
          <w:rFonts w:ascii="宋体" w:eastAsia="宋体" w:hAnsi="宋体" w:hint="eastAsia"/>
          <w:color w:val="000000" w:themeColor="text1"/>
          <w:sz w:val="24"/>
          <w:szCs w:val="21"/>
        </w:rPr>
        <w:t>）固定收益投资业务尽职调查与信用评估和风险控制</w:t>
      </w:r>
      <w:r>
        <w:rPr>
          <w:rFonts w:ascii="宋体" w:eastAsia="宋体" w:hAnsi="宋体" w:hint="eastAsia"/>
          <w:color w:val="000000" w:themeColor="text1"/>
          <w:sz w:val="24"/>
          <w:szCs w:val="21"/>
        </w:rPr>
        <w:t>。</w:t>
      </w:r>
    </w:p>
    <w:p w:rsidR="00792267" w:rsidRDefault="00792267" w:rsidP="00821A70">
      <w:pPr>
        <w:pStyle w:val="a8"/>
        <w:numPr>
          <w:ilvl w:val="0"/>
          <w:numId w:val="21"/>
        </w:numPr>
        <w:tabs>
          <w:tab w:val="left" w:pos="993"/>
        </w:tabs>
        <w:spacing w:after="240" w:line="360" w:lineRule="auto"/>
        <w:rPr>
          <w:rFonts w:ascii="Arial" w:hAnsi="宋体" w:cs="Arial"/>
          <w:szCs w:val="24"/>
        </w:rPr>
      </w:pPr>
      <w:r w:rsidRPr="009D7EB8">
        <w:rPr>
          <w:rFonts w:ascii="宋体" w:hAnsi="宋体" w:hint="eastAsia"/>
          <w:color w:val="000000" w:themeColor="text1"/>
          <w:szCs w:val="21"/>
        </w:rPr>
        <w:t>保险机构</w:t>
      </w:r>
      <w:r w:rsidRPr="009D7EB8">
        <w:rPr>
          <w:rFonts w:ascii="Arial" w:hAnsi="宋体" w:cs="Arial"/>
          <w:szCs w:val="24"/>
        </w:rPr>
        <w:t>应当配备</w:t>
      </w:r>
      <w:r w:rsidRPr="009D7EB8">
        <w:rPr>
          <w:rFonts w:ascii="Arial" w:hAnsi="宋体" w:cs="Arial" w:hint="eastAsia"/>
          <w:szCs w:val="24"/>
        </w:rPr>
        <w:t>一定数量具有债券投资经验的</w:t>
      </w:r>
      <w:r w:rsidRPr="009D7EB8">
        <w:rPr>
          <w:rFonts w:ascii="Arial" w:hAnsi="宋体" w:cs="Arial"/>
          <w:szCs w:val="24"/>
        </w:rPr>
        <w:t>人员办理</w:t>
      </w:r>
      <w:r w:rsidRPr="009D7EB8">
        <w:rPr>
          <w:rFonts w:ascii="Arial" w:hAnsi="宋体" w:cs="Arial" w:hint="eastAsia"/>
          <w:szCs w:val="24"/>
        </w:rPr>
        <w:t>固定收益</w:t>
      </w:r>
      <w:r w:rsidRPr="009D7EB8">
        <w:rPr>
          <w:rFonts w:ascii="Arial" w:hAnsi="宋体" w:cs="Arial"/>
          <w:szCs w:val="24"/>
        </w:rPr>
        <w:t>投资业务</w:t>
      </w:r>
      <w:r w:rsidRPr="009D7EB8">
        <w:rPr>
          <w:rFonts w:ascii="Arial" w:hAnsi="宋体" w:cs="Arial" w:hint="eastAsia"/>
          <w:szCs w:val="24"/>
        </w:rPr>
        <w:t>，并配备具有债券分析、信用评估、信用分析的专业分析人员。</w:t>
      </w:r>
    </w:p>
    <w:p w:rsidR="00792267" w:rsidRPr="009D7EB8" w:rsidRDefault="00792267" w:rsidP="00821A70">
      <w:pPr>
        <w:pStyle w:val="a8"/>
        <w:numPr>
          <w:ilvl w:val="0"/>
          <w:numId w:val="21"/>
        </w:numPr>
        <w:tabs>
          <w:tab w:val="left" w:pos="660"/>
          <w:tab w:val="left" w:pos="993"/>
        </w:tabs>
        <w:adjustRightInd w:val="0"/>
        <w:spacing w:line="360" w:lineRule="auto"/>
        <w:rPr>
          <w:rFonts w:ascii="宋体" w:hAnsi="宋体"/>
          <w:color w:val="000000" w:themeColor="text1"/>
          <w:szCs w:val="21"/>
        </w:rPr>
      </w:pPr>
      <w:r w:rsidRPr="009D7EB8">
        <w:rPr>
          <w:rFonts w:ascii="宋体" w:hAnsi="宋体" w:hint="eastAsia"/>
          <w:color w:val="000000" w:themeColor="text1"/>
          <w:szCs w:val="21"/>
        </w:rPr>
        <w:t>保险机构</w:t>
      </w:r>
      <w:r w:rsidRPr="009D7EB8">
        <w:rPr>
          <w:rFonts w:ascii="Arial" w:hAnsi="宋体" w:cs="Arial"/>
          <w:szCs w:val="24"/>
        </w:rPr>
        <w:t>应当建立</w:t>
      </w:r>
      <w:r w:rsidRPr="009D7EB8">
        <w:rPr>
          <w:rFonts w:ascii="Arial" w:hAnsi="宋体" w:cs="Arial" w:hint="eastAsia"/>
          <w:szCs w:val="24"/>
        </w:rPr>
        <w:t>健全</w:t>
      </w:r>
      <w:r w:rsidRPr="009D7EB8">
        <w:rPr>
          <w:rFonts w:ascii="宋体" w:hAnsi="宋体" w:hint="eastAsia"/>
          <w:color w:val="000000" w:themeColor="text1"/>
          <w:szCs w:val="21"/>
        </w:rPr>
        <w:t>相对集中、分级管理、权责统一的固定收益投资决策和授权制度</w:t>
      </w:r>
      <w:r w:rsidRPr="009D7EB8">
        <w:rPr>
          <w:rFonts w:ascii="Arial" w:hAnsi="宋体" w:cs="Arial"/>
          <w:szCs w:val="24"/>
        </w:rPr>
        <w:t>，</w:t>
      </w:r>
      <w:r w:rsidRPr="009D7EB8">
        <w:rPr>
          <w:rFonts w:ascii="Arial" w:hAnsi="宋体" w:cs="Arial" w:hint="eastAsia"/>
          <w:szCs w:val="24"/>
        </w:rPr>
        <w:t>以及覆盖投资研究、投资决策、</w:t>
      </w:r>
      <w:r w:rsidR="00E44397" w:rsidRPr="009D7EB8">
        <w:rPr>
          <w:rFonts w:ascii="Arial" w:hAnsi="宋体" w:cs="Arial" w:hint="eastAsia"/>
          <w:szCs w:val="24"/>
        </w:rPr>
        <w:t>投标报价、合同签署、场内外交易执行</w:t>
      </w:r>
      <w:r w:rsidRPr="009D7EB8">
        <w:rPr>
          <w:rFonts w:ascii="Arial" w:hAnsi="宋体" w:cs="Arial" w:hint="eastAsia"/>
          <w:szCs w:val="24"/>
        </w:rPr>
        <w:t>、业务资料保管、投后管理等各个</w:t>
      </w:r>
      <w:r w:rsidRPr="009D7EB8">
        <w:rPr>
          <w:rFonts w:ascii="Arial" w:hAnsi="宋体" w:cs="Arial"/>
          <w:szCs w:val="24"/>
        </w:rPr>
        <w:t>业务环节的</w:t>
      </w:r>
      <w:r w:rsidRPr="009D7EB8">
        <w:rPr>
          <w:rFonts w:ascii="Arial" w:hAnsi="宋体" w:cs="Arial" w:hint="eastAsia"/>
          <w:szCs w:val="24"/>
        </w:rPr>
        <w:t>操作流程及操作细则，</w:t>
      </w:r>
      <w:r w:rsidRPr="009D7EB8">
        <w:rPr>
          <w:rFonts w:ascii="宋体" w:hAnsi="宋体" w:hint="eastAsia"/>
          <w:color w:val="000000" w:themeColor="text1"/>
          <w:szCs w:val="21"/>
        </w:rPr>
        <w:t>明确各个环节、有关岗位的</w:t>
      </w:r>
      <w:r w:rsidRPr="009D7EB8">
        <w:rPr>
          <w:rFonts w:ascii="Arial" w:hAnsi="宋体" w:cs="Arial" w:hint="eastAsia"/>
          <w:szCs w:val="24"/>
        </w:rPr>
        <w:t>职责要求、</w:t>
      </w:r>
      <w:r w:rsidRPr="009D7EB8">
        <w:rPr>
          <w:rFonts w:ascii="宋体" w:hAnsi="宋体" w:hint="eastAsia"/>
          <w:color w:val="000000" w:themeColor="text1"/>
          <w:szCs w:val="21"/>
        </w:rPr>
        <w:t>衔接方式及操作标准</w:t>
      </w:r>
      <w:r w:rsidRPr="009D7EB8">
        <w:rPr>
          <w:rFonts w:ascii="Arial" w:hAnsi="宋体" w:cs="Arial"/>
          <w:szCs w:val="24"/>
        </w:rPr>
        <w:t>。</w:t>
      </w:r>
      <w:r w:rsidRPr="009D7EB8">
        <w:rPr>
          <w:rFonts w:ascii="宋体" w:hAnsi="宋体" w:hint="eastAsia"/>
          <w:color w:val="000000" w:themeColor="text1"/>
          <w:szCs w:val="21"/>
        </w:rPr>
        <w:t>保险机构应定期检查和评估</w:t>
      </w:r>
      <w:r w:rsidR="003E73AB" w:rsidRPr="009D7EB8">
        <w:rPr>
          <w:rFonts w:ascii="宋体" w:hAnsi="宋体" w:hint="eastAsia"/>
          <w:color w:val="000000" w:themeColor="text1"/>
          <w:szCs w:val="21"/>
        </w:rPr>
        <w:t>固定收益</w:t>
      </w:r>
      <w:r w:rsidRPr="009D7EB8">
        <w:rPr>
          <w:rFonts w:ascii="宋体" w:hAnsi="宋体" w:hint="eastAsia"/>
          <w:color w:val="000000" w:themeColor="text1"/>
          <w:szCs w:val="21"/>
        </w:rPr>
        <w:t>投资相关制度的执行情况。</w:t>
      </w:r>
    </w:p>
    <w:p w:rsidR="001819E6" w:rsidRDefault="003540BD" w:rsidP="00D051D3">
      <w:pPr>
        <w:pStyle w:val="1"/>
        <w:spacing w:before="0" w:afterLines="50" w:line="360" w:lineRule="auto"/>
        <w:jc w:val="center"/>
        <w:rPr>
          <w:rFonts w:ascii="宋体" w:eastAsia="宋体" w:hAnsi="宋体"/>
          <w:color w:val="000000" w:themeColor="text1"/>
          <w:szCs w:val="21"/>
        </w:rPr>
      </w:pPr>
      <w:bookmarkStart w:id="3" w:name="_Toc408578702"/>
      <w:r>
        <w:rPr>
          <w:rFonts w:ascii="宋体" w:eastAsia="宋体" w:hAnsi="宋体" w:hint="eastAsia"/>
          <w:color w:val="000000" w:themeColor="text1"/>
          <w:szCs w:val="21"/>
        </w:rPr>
        <w:t>第三节</w:t>
      </w:r>
      <w:r w:rsidR="005B784C" w:rsidRPr="00CD0EDE">
        <w:rPr>
          <w:rFonts w:ascii="宋体" w:eastAsia="宋体" w:hAnsi="宋体" w:hint="eastAsia"/>
          <w:color w:val="000000" w:themeColor="text1"/>
          <w:szCs w:val="21"/>
        </w:rPr>
        <w:t xml:space="preserve"> 投资研究与决策控制</w:t>
      </w:r>
      <w:bookmarkEnd w:id="3"/>
    </w:p>
    <w:p w:rsidR="001359A8" w:rsidRPr="009D7EB8" w:rsidRDefault="00FA768A" w:rsidP="00821A70">
      <w:pPr>
        <w:pStyle w:val="a8"/>
        <w:numPr>
          <w:ilvl w:val="0"/>
          <w:numId w:val="21"/>
        </w:numPr>
        <w:tabs>
          <w:tab w:val="left" w:pos="993"/>
        </w:tabs>
        <w:spacing w:after="240" w:line="360" w:lineRule="auto"/>
        <w:rPr>
          <w:rFonts w:ascii="宋体" w:hAnsi="宋体"/>
          <w:color w:val="000000" w:themeColor="text1"/>
          <w:szCs w:val="21"/>
        </w:rPr>
      </w:pPr>
      <w:r w:rsidRPr="009D7EB8">
        <w:rPr>
          <w:rFonts w:ascii="宋体" w:hAnsi="宋体" w:hint="eastAsia"/>
          <w:color w:val="000000" w:themeColor="text1"/>
          <w:szCs w:val="21"/>
        </w:rPr>
        <w:t>保险机构应当</w:t>
      </w:r>
      <w:r w:rsidR="001359A8" w:rsidRPr="009D7EB8">
        <w:rPr>
          <w:rFonts w:ascii="宋体" w:hAnsi="宋体" w:hint="eastAsia"/>
          <w:color w:val="000000" w:themeColor="text1"/>
          <w:szCs w:val="21"/>
        </w:rPr>
        <w:t>建立信用评估模型进行内部信用评级，构建交易对手资料库，</w:t>
      </w:r>
      <w:r w:rsidR="0057205B" w:rsidRPr="009D7EB8">
        <w:rPr>
          <w:rFonts w:ascii="宋体" w:hAnsi="宋体" w:hint="eastAsia"/>
          <w:color w:val="000000" w:themeColor="text1"/>
          <w:szCs w:val="21"/>
        </w:rPr>
        <w:t>收集</w:t>
      </w:r>
      <w:r w:rsidR="001359A8" w:rsidRPr="009D7EB8">
        <w:rPr>
          <w:rFonts w:ascii="宋体" w:hAnsi="宋体" w:hint="eastAsia"/>
          <w:color w:val="000000" w:themeColor="text1"/>
          <w:szCs w:val="21"/>
        </w:rPr>
        <w:t>交易对手披露信息、外部独立机构信用评级和监管机构评价，评估交易对手</w:t>
      </w:r>
      <w:r w:rsidR="0057205B" w:rsidRPr="009D7EB8">
        <w:rPr>
          <w:rFonts w:ascii="宋体" w:hAnsi="宋体" w:hint="eastAsia"/>
          <w:color w:val="000000" w:themeColor="text1"/>
          <w:szCs w:val="21"/>
        </w:rPr>
        <w:t>及产品</w:t>
      </w:r>
      <w:r w:rsidR="001359A8" w:rsidRPr="009D7EB8">
        <w:rPr>
          <w:rFonts w:ascii="宋体" w:hAnsi="宋体" w:hint="eastAsia"/>
          <w:color w:val="000000" w:themeColor="text1"/>
          <w:szCs w:val="21"/>
        </w:rPr>
        <w:t>的信用风险，并逐步完善评级信息</w:t>
      </w:r>
      <w:bookmarkStart w:id="4" w:name="_GoBack"/>
      <w:bookmarkEnd w:id="4"/>
      <w:r w:rsidR="001359A8" w:rsidRPr="009D7EB8">
        <w:rPr>
          <w:rFonts w:ascii="宋体" w:hAnsi="宋体" w:hint="eastAsia"/>
          <w:color w:val="000000" w:themeColor="text1"/>
          <w:szCs w:val="21"/>
        </w:rPr>
        <w:t>数据库，持续积累信用信息和数据，并</w:t>
      </w:r>
      <w:r w:rsidRPr="009D7EB8">
        <w:rPr>
          <w:rFonts w:ascii="宋体" w:hAnsi="宋体" w:hint="eastAsia"/>
          <w:color w:val="000000" w:themeColor="text1"/>
          <w:szCs w:val="21"/>
        </w:rPr>
        <w:t>根据信用风险程度制定授信额度</w:t>
      </w:r>
      <w:r w:rsidR="001359A8" w:rsidRPr="009D7EB8">
        <w:rPr>
          <w:rFonts w:ascii="宋体" w:hAnsi="宋体" w:hint="eastAsia"/>
          <w:color w:val="000000" w:themeColor="text1"/>
          <w:szCs w:val="21"/>
        </w:rPr>
        <w:t>。</w:t>
      </w:r>
    </w:p>
    <w:p w:rsidR="00D87505" w:rsidRPr="009D7EB8" w:rsidRDefault="003E73AB" w:rsidP="00821A70">
      <w:pPr>
        <w:pStyle w:val="a8"/>
        <w:numPr>
          <w:ilvl w:val="0"/>
          <w:numId w:val="21"/>
        </w:numPr>
        <w:tabs>
          <w:tab w:val="left" w:pos="993"/>
        </w:tabs>
        <w:spacing w:after="240" w:line="360" w:lineRule="auto"/>
        <w:rPr>
          <w:rFonts w:ascii="宋体" w:hAnsi="宋体"/>
          <w:color w:val="000000" w:themeColor="text1"/>
          <w:szCs w:val="21"/>
        </w:rPr>
      </w:pPr>
      <w:r w:rsidRPr="009D7EB8">
        <w:rPr>
          <w:rFonts w:ascii="宋体" w:hAnsi="宋体" w:hint="eastAsia"/>
          <w:color w:val="000000" w:themeColor="text1"/>
          <w:szCs w:val="21"/>
        </w:rPr>
        <w:t>保险机构</w:t>
      </w:r>
      <w:r w:rsidR="00D87505" w:rsidRPr="009D7EB8">
        <w:rPr>
          <w:rFonts w:ascii="宋体" w:hAnsi="宋体" w:hint="eastAsia"/>
          <w:color w:val="000000" w:themeColor="text1"/>
          <w:szCs w:val="21"/>
        </w:rPr>
        <w:t>应当对拟投资的固定收益证券进行充分研究，撰写</w:t>
      </w:r>
      <w:r w:rsidR="00D16E89" w:rsidRPr="009D7EB8">
        <w:rPr>
          <w:rFonts w:ascii="宋体" w:hAnsi="宋体" w:hint="eastAsia"/>
          <w:color w:val="000000" w:themeColor="text1"/>
          <w:szCs w:val="21"/>
        </w:rPr>
        <w:t>研究报告，</w:t>
      </w:r>
      <w:r w:rsidR="00D87505" w:rsidRPr="009D7EB8">
        <w:rPr>
          <w:rFonts w:ascii="宋体" w:hAnsi="宋体" w:hint="eastAsia"/>
          <w:color w:val="000000" w:themeColor="text1"/>
          <w:szCs w:val="21"/>
        </w:rPr>
        <w:t>并</w:t>
      </w:r>
      <w:r w:rsidR="00C12444" w:rsidRPr="009D7EB8">
        <w:rPr>
          <w:rFonts w:ascii="宋体" w:hAnsi="宋体" w:hint="eastAsia"/>
          <w:color w:val="000000" w:themeColor="text1"/>
          <w:szCs w:val="21"/>
        </w:rPr>
        <w:t>建立不同层级的固定收益证券池，</w:t>
      </w:r>
      <w:r w:rsidR="00220904" w:rsidRPr="009D7EB8">
        <w:rPr>
          <w:rFonts w:ascii="宋体" w:hAnsi="宋体" w:hint="eastAsia"/>
          <w:color w:val="000000" w:themeColor="text1"/>
          <w:szCs w:val="21"/>
        </w:rPr>
        <w:t>定期</w:t>
      </w:r>
      <w:r w:rsidR="00C12444" w:rsidRPr="009D7EB8">
        <w:rPr>
          <w:rFonts w:ascii="宋体" w:hAnsi="宋体" w:hint="eastAsia"/>
          <w:color w:val="000000" w:themeColor="text1"/>
          <w:szCs w:val="21"/>
        </w:rPr>
        <w:t>跟踪并分析交易对手信用风险变化，加强固定收益证券池的日常维护和管理，为固定收益投资决策提供依据。</w:t>
      </w:r>
    </w:p>
    <w:p w:rsidR="005F2999" w:rsidRPr="009D7EB8" w:rsidRDefault="0057205B" w:rsidP="00821A70">
      <w:pPr>
        <w:pStyle w:val="a8"/>
        <w:numPr>
          <w:ilvl w:val="0"/>
          <w:numId w:val="21"/>
        </w:numPr>
        <w:tabs>
          <w:tab w:val="left" w:pos="993"/>
          <w:tab w:val="left" w:pos="1134"/>
        </w:tabs>
        <w:spacing w:after="240" w:line="360" w:lineRule="auto"/>
        <w:rPr>
          <w:rFonts w:ascii="宋体" w:hAnsi="宋体"/>
          <w:color w:val="000000" w:themeColor="text1"/>
          <w:szCs w:val="21"/>
        </w:rPr>
      </w:pPr>
      <w:r w:rsidRPr="009D7EB8">
        <w:rPr>
          <w:rFonts w:ascii="宋体" w:hAnsi="宋体" w:hint="eastAsia"/>
          <w:color w:val="000000" w:themeColor="text1"/>
          <w:szCs w:val="21"/>
        </w:rPr>
        <w:t>保险机构</w:t>
      </w:r>
      <w:r w:rsidR="005F2999" w:rsidRPr="009D7EB8">
        <w:rPr>
          <w:rFonts w:ascii="宋体" w:hAnsi="宋体" w:hint="eastAsia"/>
          <w:color w:val="000000" w:themeColor="text1"/>
          <w:szCs w:val="21"/>
        </w:rPr>
        <w:t>应当加强债券投资</w:t>
      </w:r>
      <w:r w:rsidR="005E03DF" w:rsidRPr="009D7EB8">
        <w:rPr>
          <w:rFonts w:ascii="宋体" w:hAnsi="宋体" w:hint="eastAsia"/>
          <w:color w:val="000000" w:themeColor="text1"/>
          <w:szCs w:val="21"/>
        </w:rPr>
        <w:t>及债券逆回购业务</w:t>
      </w:r>
      <w:r w:rsidR="005F2999" w:rsidRPr="009D7EB8">
        <w:rPr>
          <w:rFonts w:ascii="宋体" w:hAnsi="宋体" w:hint="eastAsia"/>
          <w:color w:val="000000" w:themeColor="text1"/>
          <w:szCs w:val="21"/>
        </w:rPr>
        <w:t>的</w:t>
      </w:r>
      <w:r w:rsidR="00BE58B4" w:rsidRPr="009D7EB8">
        <w:rPr>
          <w:rFonts w:ascii="宋体" w:hAnsi="宋体" w:hint="eastAsia"/>
          <w:color w:val="000000" w:themeColor="text1"/>
          <w:szCs w:val="21"/>
        </w:rPr>
        <w:t>信用风险、</w:t>
      </w:r>
      <w:r w:rsidR="005F2999" w:rsidRPr="009D7EB8">
        <w:rPr>
          <w:rFonts w:ascii="宋体" w:hAnsi="宋体" w:hint="eastAsia"/>
          <w:color w:val="000000" w:themeColor="text1"/>
          <w:szCs w:val="21"/>
        </w:rPr>
        <w:t>市场风险和流动性风险管理，定期开展压力测试与情景分析，并根据测试结果适度调整投资策略</w:t>
      </w:r>
      <w:r w:rsidR="005F2999" w:rsidRPr="009D7EB8">
        <w:rPr>
          <w:rFonts w:ascii="宋体" w:hAnsi="宋体"/>
          <w:color w:val="000000" w:themeColor="text1"/>
          <w:szCs w:val="21"/>
        </w:rPr>
        <w:t>。</w:t>
      </w:r>
    </w:p>
    <w:p w:rsidR="005E03DF" w:rsidRPr="009D7EB8" w:rsidRDefault="005E03DF" w:rsidP="00821A70">
      <w:pPr>
        <w:pStyle w:val="a8"/>
        <w:numPr>
          <w:ilvl w:val="0"/>
          <w:numId w:val="21"/>
        </w:numPr>
        <w:tabs>
          <w:tab w:val="left" w:pos="1134"/>
        </w:tabs>
        <w:spacing w:after="240" w:line="360" w:lineRule="auto"/>
        <w:rPr>
          <w:rFonts w:ascii="宋体" w:hAnsi="宋体"/>
          <w:color w:val="000000" w:themeColor="text1"/>
          <w:szCs w:val="21"/>
        </w:rPr>
      </w:pPr>
      <w:r w:rsidRPr="009D7EB8">
        <w:rPr>
          <w:rFonts w:ascii="宋体" w:hAnsi="宋体" w:hint="eastAsia"/>
          <w:color w:val="000000" w:themeColor="text1"/>
          <w:szCs w:val="21"/>
        </w:rPr>
        <w:t>保险机构应当在监管要求的范围内开展债券回购业务，需要考虑资产组合流动性、货币市场利率水平、金融工具风险收益等因素，合理确定融入资金利率，明确融资的利率</w:t>
      </w:r>
      <w:r w:rsidR="005355F3" w:rsidRPr="009D7EB8">
        <w:rPr>
          <w:rFonts w:ascii="宋体" w:hAnsi="宋体" w:hint="eastAsia"/>
          <w:color w:val="000000" w:themeColor="text1"/>
          <w:szCs w:val="21"/>
        </w:rPr>
        <w:t>区间</w:t>
      </w:r>
      <w:r w:rsidRPr="009D7EB8">
        <w:rPr>
          <w:rFonts w:ascii="宋体" w:hAnsi="宋体" w:hint="eastAsia"/>
          <w:color w:val="000000" w:themeColor="text1"/>
          <w:szCs w:val="21"/>
        </w:rPr>
        <w:t>。</w:t>
      </w:r>
    </w:p>
    <w:p w:rsidR="003E73AB" w:rsidRDefault="003E73AB" w:rsidP="00821A70">
      <w:pPr>
        <w:pStyle w:val="a8"/>
        <w:numPr>
          <w:ilvl w:val="0"/>
          <w:numId w:val="21"/>
        </w:numPr>
        <w:tabs>
          <w:tab w:val="left" w:pos="1276"/>
        </w:tabs>
        <w:spacing w:after="240" w:line="360" w:lineRule="auto"/>
        <w:rPr>
          <w:rFonts w:ascii="宋体" w:hAnsi="宋体"/>
          <w:color w:val="000000" w:themeColor="text1"/>
          <w:szCs w:val="21"/>
        </w:rPr>
      </w:pPr>
      <w:r w:rsidRPr="009D7EB8">
        <w:rPr>
          <w:rFonts w:ascii="宋体" w:hAnsi="宋体" w:hint="eastAsia"/>
          <w:color w:val="000000" w:themeColor="text1"/>
          <w:szCs w:val="21"/>
        </w:rPr>
        <w:t>固定收益投资的计划应当符合监管机构相关规定、委托方的投资指</w:t>
      </w:r>
      <w:r w:rsidRPr="009D7EB8">
        <w:rPr>
          <w:rFonts w:ascii="宋体" w:hAnsi="宋体" w:hint="eastAsia"/>
          <w:color w:val="000000" w:themeColor="text1"/>
          <w:szCs w:val="21"/>
        </w:rPr>
        <w:lastRenderedPageBreak/>
        <w:t>引以及公司内部的投资政策以及资产配置计划，</w:t>
      </w:r>
      <w:r w:rsidR="009E66C3" w:rsidRPr="00244984">
        <w:rPr>
          <w:rFonts w:ascii="宋体" w:hAnsi="宋体" w:hint="eastAsia"/>
          <w:color w:val="000000" w:themeColor="text1"/>
          <w:szCs w:val="21"/>
        </w:rPr>
        <w:t>投资过程需要有合理的</w:t>
      </w:r>
      <w:r w:rsidR="009E66C3">
        <w:rPr>
          <w:rFonts w:ascii="宋体" w:hAnsi="宋体" w:hint="eastAsia"/>
          <w:color w:val="000000" w:themeColor="text1"/>
          <w:szCs w:val="21"/>
        </w:rPr>
        <w:t>审议和</w:t>
      </w:r>
      <w:r w:rsidR="009E66C3" w:rsidRPr="00244984">
        <w:rPr>
          <w:rFonts w:ascii="宋体" w:hAnsi="宋体" w:hint="eastAsia"/>
          <w:color w:val="000000" w:themeColor="text1"/>
          <w:szCs w:val="21"/>
        </w:rPr>
        <w:t>控制措施，确保各类风险得到有效</w:t>
      </w:r>
      <w:r w:rsidR="009E66C3">
        <w:rPr>
          <w:rFonts w:ascii="宋体" w:hAnsi="宋体" w:hint="eastAsia"/>
          <w:color w:val="000000" w:themeColor="text1"/>
          <w:szCs w:val="21"/>
        </w:rPr>
        <w:t>评估</w:t>
      </w:r>
      <w:r w:rsidRPr="009D7EB8">
        <w:rPr>
          <w:rFonts w:ascii="宋体" w:hAnsi="宋体" w:hint="eastAsia"/>
          <w:color w:val="000000" w:themeColor="text1"/>
          <w:szCs w:val="21"/>
        </w:rPr>
        <w:t>。</w:t>
      </w:r>
    </w:p>
    <w:p w:rsidR="0066367C" w:rsidRPr="009D7EB8" w:rsidRDefault="00821A70" w:rsidP="00821A70">
      <w:pPr>
        <w:pStyle w:val="a8"/>
        <w:numPr>
          <w:ilvl w:val="0"/>
          <w:numId w:val="21"/>
        </w:numPr>
        <w:tabs>
          <w:tab w:val="left" w:pos="1134"/>
        </w:tabs>
        <w:spacing w:after="240" w:line="360" w:lineRule="auto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 xml:space="preserve"> </w:t>
      </w:r>
      <w:r w:rsidR="00D87505" w:rsidRPr="009D7EB8">
        <w:rPr>
          <w:rFonts w:ascii="宋体" w:hAnsi="宋体" w:hint="eastAsia"/>
          <w:color w:val="000000" w:themeColor="text1"/>
          <w:szCs w:val="21"/>
        </w:rPr>
        <w:t>固定收益</w:t>
      </w:r>
      <w:r w:rsidR="00FC5F19" w:rsidRPr="009D7EB8">
        <w:rPr>
          <w:rFonts w:ascii="宋体" w:hAnsi="宋体" w:hint="eastAsia"/>
          <w:color w:val="000000" w:themeColor="text1"/>
          <w:szCs w:val="21"/>
        </w:rPr>
        <w:t>投资</w:t>
      </w:r>
      <w:r w:rsidR="00BE19F5" w:rsidRPr="009D7EB8">
        <w:rPr>
          <w:rFonts w:ascii="宋体" w:hAnsi="宋体" w:hint="eastAsia"/>
          <w:color w:val="000000" w:themeColor="text1"/>
          <w:szCs w:val="21"/>
        </w:rPr>
        <w:t>决议应按照公司投资决策和授权制度进行审议，决策人员应充分了解</w:t>
      </w:r>
      <w:r w:rsidR="00D87505" w:rsidRPr="009D7EB8">
        <w:rPr>
          <w:rFonts w:ascii="宋体" w:hAnsi="宋体" w:hint="eastAsia"/>
          <w:color w:val="000000" w:themeColor="text1"/>
          <w:szCs w:val="21"/>
        </w:rPr>
        <w:t>固定收益投资</w:t>
      </w:r>
      <w:r w:rsidR="005F2999" w:rsidRPr="009D7EB8">
        <w:rPr>
          <w:rFonts w:ascii="宋体" w:hAnsi="宋体" w:hint="eastAsia"/>
          <w:color w:val="000000" w:themeColor="text1"/>
          <w:szCs w:val="21"/>
        </w:rPr>
        <w:t>外部</w:t>
      </w:r>
      <w:r w:rsidR="00D87505" w:rsidRPr="009D7EB8">
        <w:rPr>
          <w:rFonts w:ascii="宋体" w:hAnsi="宋体" w:hint="eastAsia"/>
          <w:color w:val="000000" w:themeColor="text1"/>
          <w:szCs w:val="21"/>
        </w:rPr>
        <w:t>信用</w:t>
      </w:r>
      <w:r w:rsidR="005F2999" w:rsidRPr="009D7EB8">
        <w:rPr>
          <w:rFonts w:ascii="宋体" w:hAnsi="宋体" w:hint="eastAsia"/>
          <w:color w:val="000000" w:themeColor="text1"/>
          <w:szCs w:val="21"/>
        </w:rPr>
        <w:t>评级</w:t>
      </w:r>
      <w:r w:rsidR="00BE19F5" w:rsidRPr="009D7EB8">
        <w:rPr>
          <w:rFonts w:ascii="宋体" w:hAnsi="宋体" w:hint="eastAsia"/>
          <w:color w:val="000000" w:themeColor="text1"/>
          <w:szCs w:val="21"/>
        </w:rPr>
        <w:t>结果</w:t>
      </w:r>
      <w:r w:rsidR="0057205B" w:rsidRPr="009D7EB8">
        <w:rPr>
          <w:rFonts w:ascii="宋体" w:hAnsi="宋体" w:hint="eastAsia"/>
          <w:color w:val="000000" w:themeColor="text1"/>
          <w:szCs w:val="21"/>
        </w:rPr>
        <w:t>、</w:t>
      </w:r>
      <w:r w:rsidR="005F2999" w:rsidRPr="009D7EB8">
        <w:rPr>
          <w:rFonts w:ascii="宋体" w:hAnsi="宋体" w:hint="eastAsia"/>
          <w:color w:val="000000" w:themeColor="text1"/>
          <w:szCs w:val="21"/>
        </w:rPr>
        <w:t>内部信用评级结果、</w:t>
      </w:r>
      <w:r w:rsidR="0057205B" w:rsidRPr="009D7EB8">
        <w:rPr>
          <w:rFonts w:ascii="宋体" w:hAnsi="宋体" w:hint="eastAsia"/>
          <w:color w:val="000000" w:themeColor="text1"/>
          <w:szCs w:val="21"/>
        </w:rPr>
        <w:t>担保</w:t>
      </w:r>
      <w:r w:rsidR="005F2999" w:rsidRPr="009D7EB8">
        <w:rPr>
          <w:rFonts w:ascii="宋体" w:hAnsi="宋体" w:hint="eastAsia"/>
          <w:color w:val="000000" w:themeColor="text1"/>
          <w:szCs w:val="21"/>
        </w:rPr>
        <w:t>效力、发行人还款来源以及</w:t>
      </w:r>
      <w:r w:rsidR="00D87505" w:rsidRPr="009D7EB8">
        <w:rPr>
          <w:rFonts w:ascii="宋体" w:hAnsi="宋体" w:hint="eastAsia"/>
          <w:color w:val="000000" w:themeColor="text1"/>
          <w:szCs w:val="21"/>
        </w:rPr>
        <w:t>交易对手方</w:t>
      </w:r>
      <w:r w:rsidR="005F2999" w:rsidRPr="009D7EB8">
        <w:rPr>
          <w:rFonts w:ascii="宋体" w:hAnsi="宋体" w:hint="eastAsia"/>
          <w:color w:val="000000" w:themeColor="text1"/>
          <w:szCs w:val="21"/>
        </w:rPr>
        <w:t>的</w:t>
      </w:r>
      <w:r w:rsidR="00BE19F5" w:rsidRPr="009D7EB8">
        <w:rPr>
          <w:rFonts w:ascii="宋体" w:hAnsi="宋体" w:hint="eastAsia"/>
          <w:color w:val="000000" w:themeColor="text1"/>
          <w:szCs w:val="21"/>
        </w:rPr>
        <w:t>相关信息。</w:t>
      </w:r>
      <w:r w:rsidR="00D16E89" w:rsidRPr="009D7EB8">
        <w:rPr>
          <w:rFonts w:ascii="宋体" w:hAnsi="宋体" w:hint="eastAsia"/>
          <w:color w:val="000000" w:themeColor="text1"/>
          <w:szCs w:val="21"/>
        </w:rPr>
        <w:t>重大投资应遵循集中决策的要求进行。</w:t>
      </w:r>
    </w:p>
    <w:p w:rsidR="001819E6" w:rsidRDefault="003540BD" w:rsidP="00D051D3">
      <w:pPr>
        <w:pStyle w:val="1"/>
        <w:spacing w:before="0" w:afterLines="50" w:line="360" w:lineRule="auto"/>
        <w:jc w:val="center"/>
        <w:rPr>
          <w:rFonts w:ascii="宋体" w:eastAsia="宋体" w:hAnsi="宋体"/>
          <w:color w:val="000000" w:themeColor="text1"/>
          <w:szCs w:val="21"/>
        </w:rPr>
      </w:pPr>
      <w:bookmarkStart w:id="5" w:name="_Toc408578703"/>
      <w:r>
        <w:rPr>
          <w:rFonts w:ascii="宋体" w:eastAsia="宋体" w:hAnsi="宋体" w:hint="eastAsia"/>
          <w:color w:val="000000" w:themeColor="text1"/>
          <w:szCs w:val="21"/>
        </w:rPr>
        <w:t>第四节</w:t>
      </w:r>
      <w:r w:rsidR="00CD0EDE" w:rsidRPr="00CD0EDE">
        <w:rPr>
          <w:rFonts w:ascii="宋体" w:eastAsia="宋体" w:hAnsi="宋体" w:hint="eastAsia"/>
          <w:color w:val="000000" w:themeColor="text1"/>
          <w:szCs w:val="21"/>
        </w:rPr>
        <w:t xml:space="preserve"> 投资执行控制</w:t>
      </w:r>
      <w:bookmarkEnd w:id="5"/>
    </w:p>
    <w:p w:rsidR="00CD0EDE" w:rsidRPr="009D7EB8" w:rsidRDefault="00CD0EDE" w:rsidP="00821A70">
      <w:pPr>
        <w:pStyle w:val="a8"/>
        <w:numPr>
          <w:ilvl w:val="0"/>
          <w:numId w:val="21"/>
        </w:numPr>
        <w:tabs>
          <w:tab w:val="left" w:pos="1134"/>
        </w:tabs>
        <w:spacing w:after="240" w:line="360" w:lineRule="auto"/>
        <w:rPr>
          <w:rFonts w:ascii="宋体" w:hAnsi="宋体"/>
          <w:color w:val="000000" w:themeColor="text1"/>
          <w:szCs w:val="21"/>
        </w:rPr>
      </w:pPr>
      <w:r w:rsidRPr="009D7EB8">
        <w:rPr>
          <w:rFonts w:ascii="宋体" w:hAnsi="宋体"/>
          <w:color w:val="000000" w:themeColor="text1"/>
          <w:szCs w:val="21"/>
        </w:rPr>
        <w:t>投资指令应当进行审核，确认其合法、合规与完整后方可执行</w:t>
      </w:r>
      <w:r w:rsidRPr="009D7EB8">
        <w:rPr>
          <w:rFonts w:ascii="宋体" w:hAnsi="宋体" w:hint="eastAsia"/>
          <w:color w:val="000000" w:themeColor="text1"/>
          <w:szCs w:val="21"/>
        </w:rPr>
        <w:t>。</w:t>
      </w:r>
      <w:r w:rsidR="0066367C" w:rsidRPr="009D7EB8">
        <w:rPr>
          <w:rFonts w:ascii="宋体" w:hAnsi="宋体" w:hint="eastAsia"/>
          <w:color w:val="000000" w:themeColor="text1"/>
          <w:szCs w:val="21"/>
        </w:rPr>
        <w:t>固定收益投资</w:t>
      </w:r>
      <w:r w:rsidRPr="009D7EB8">
        <w:rPr>
          <w:rFonts w:ascii="宋体" w:hAnsi="宋体" w:hint="eastAsia"/>
          <w:color w:val="000000" w:themeColor="text1"/>
          <w:szCs w:val="21"/>
        </w:rPr>
        <w:t>交易</w:t>
      </w:r>
      <w:r w:rsidR="0066367C" w:rsidRPr="009D7EB8">
        <w:rPr>
          <w:rFonts w:ascii="宋体" w:hAnsi="宋体" w:hint="eastAsia"/>
          <w:color w:val="000000" w:themeColor="text1"/>
          <w:szCs w:val="21"/>
        </w:rPr>
        <w:t>的</w:t>
      </w:r>
      <w:r w:rsidRPr="009D7EB8">
        <w:rPr>
          <w:rFonts w:ascii="宋体" w:hAnsi="宋体" w:hint="eastAsia"/>
          <w:color w:val="000000" w:themeColor="text1"/>
          <w:szCs w:val="21"/>
        </w:rPr>
        <w:t>执行，应当建立全面的集中交易管理体系，包括但不限于：</w:t>
      </w:r>
    </w:p>
    <w:p w:rsidR="00CD0EDE" w:rsidRPr="0062181B" w:rsidRDefault="0062181B" w:rsidP="0062181B">
      <w:pPr>
        <w:pStyle w:val="a8"/>
        <w:numPr>
          <w:ilvl w:val="0"/>
          <w:numId w:val="20"/>
        </w:numPr>
        <w:spacing w:after="240" w:line="360" w:lineRule="auto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实行集中交易制度，严格隔离投资决策与交易执行；</w:t>
      </w:r>
    </w:p>
    <w:p w:rsidR="0062181B" w:rsidRDefault="00CD0EDE" w:rsidP="00CD0EDE">
      <w:pPr>
        <w:pStyle w:val="a8"/>
        <w:numPr>
          <w:ilvl w:val="0"/>
          <w:numId w:val="20"/>
        </w:numPr>
        <w:spacing w:after="240" w:line="360" w:lineRule="auto"/>
        <w:rPr>
          <w:rFonts w:ascii="宋体" w:hAnsi="宋体"/>
          <w:color w:val="000000" w:themeColor="text1"/>
          <w:szCs w:val="21"/>
        </w:rPr>
      </w:pPr>
      <w:r w:rsidRPr="0062181B">
        <w:rPr>
          <w:rFonts w:ascii="宋体" w:hAnsi="宋体" w:hint="eastAsia"/>
          <w:color w:val="000000" w:themeColor="text1"/>
          <w:szCs w:val="21"/>
        </w:rPr>
        <w:t>设立集中交易室，实行门禁管理，未经批准其他人不得随意进入。安装集中交易监测系统、预警系统和反馈系统，对交易室固定电话、网络通信等实施交易</w:t>
      </w:r>
      <w:r w:rsidR="005F191F">
        <w:rPr>
          <w:rFonts w:ascii="宋体" w:hAnsi="宋体" w:hint="eastAsia"/>
          <w:color w:val="000000" w:themeColor="text1"/>
          <w:szCs w:val="21"/>
        </w:rPr>
        <w:t>时间内监控，交易机设置交易密码并定期更换，以隔离投资决策与执行</w:t>
      </w:r>
      <w:r w:rsidR="005F191F">
        <w:rPr>
          <w:rFonts w:ascii="宋体" w:hAnsi="宋体" w:hint="eastAsia"/>
          <w:color w:val="000000" w:themeColor="text1"/>
          <w:szCs w:val="21"/>
          <w:lang w:val="en-GB"/>
        </w:rPr>
        <w:t>；</w:t>
      </w:r>
    </w:p>
    <w:p w:rsidR="0066367C" w:rsidRDefault="00CD0EDE" w:rsidP="0066367C">
      <w:pPr>
        <w:pStyle w:val="a8"/>
        <w:numPr>
          <w:ilvl w:val="0"/>
          <w:numId w:val="20"/>
        </w:numPr>
        <w:spacing w:after="240" w:line="360" w:lineRule="auto"/>
        <w:rPr>
          <w:rFonts w:ascii="宋体" w:hAnsi="宋体"/>
          <w:color w:val="000000" w:themeColor="text1"/>
          <w:szCs w:val="21"/>
        </w:rPr>
      </w:pPr>
      <w:r w:rsidRPr="0062181B">
        <w:rPr>
          <w:rFonts w:ascii="宋体" w:hAnsi="宋体" w:hint="eastAsia"/>
          <w:color w:val="000000" w:themeColor="text1"/>
          <w:szCs w:val="21"/>
        </w:rPr>
        <w:t>建立有效的监督和制约机制，密切监控交易过程中的谈判、询价等关键环节，谈判</w:t>
      </w:r>
      <w:r w:rsidR="0062181B">
        <w:rPr>
          <w:rFonts w:ascii="宋体" w:hAnsi="宋体" w:hint="eastAsia"/>
          <w:color w:val="000000" w:themeColor="text1"/>
          <w:szCs w:val="21"/>
        </w:rPr>
        <w:t>、询价应与交易执行相分离，交易员不得将与投资相关资料带出交易室。</w:t>
      </w:r>
    </w:p>
    <w:p w:rsidR="00081B0D" w:rsidRDefault="0062181B" w:rsidP="00821A70">
      <w:pPr>
        <w:pStyle w:val="a8"/>
        <w:numPr>
          <w:ilvl w:val="0"/>
          <w:numId w:val="21"/>
        </w:numPr>
        <w:tabs>
          <w:tab w:val="left" w:pos="1276"/>
        </w:tabs>
        <w:spacing w:after="240" w:line="360" w:lineRule="auto"/>
        <w:rPr>
          <w:rFonts w:ascii="宋体" w:hAnsi="宋体"/>
          <w:color w:val="000000" w:themeColor="text1"/>
          <w:szCs w:val="21"/>
        </w:rPr>
      </w:pPr>
      <w:r w:rsidRPr="009D7EB8">
        <w:rPr>
          <w:rFonts w:ascii="宋体" w:hAnsi="宋体" w:hint="eastAsia"/>
          <w:color w:val="000000" w:themeColor="text1"/>
          <w:szCs w:val="21"/>
        </w:rPr>
        <w:t>投资交易指令的下达必须通过公司统一的投资交易管理系统，</w:t>
      </w:r>
      <w:r w:rsidR="005622BF">
        <w:rPr>
          <w:rFonts w:ascii="宋体" w:hAnsi="宋体" w:hint="eastAsia"/>
          <w:color w:val="000000" w:themeColor="text1"/>
          <w:szCs w:val="21"/>
        </w:rPr>
        <w:t>原则上</w:t>
      </w:r>
      <w:r w:rsidRPr="009D7EB8">
        <w:rPr>
          <w:rFonts w:ascii="宋体" w:hAnsi="宋体" w:hint="eastAsia"/>
          <w:color w:val="000000" w:themeColor="text1"/>
          <w:szCs w:val="21"/>
        </w:rPr>
        <w:t>禁止</w:t>
      </w:r>
      <w:r w:rsidR="005622BF">
        <w:rPr>
          <w:rFonts w:ascii="宋体" w:hAnsi="宋体" w:hint="eastAsia"/>
          <w:color w:val="000000" w:themeColor="text1"/>
          <w:szCs w:val="21"/>
        </w:rPr>
        <w:t>绕过系统仅</w:t>
      </w:r>
      <w:r w:rsidRPr="009D7EB8">
        <w:rPr>
          <w:rFonts w:ascii="宋体" w:hAnsi="宋体" w:hint="eastAsia"/>
          <w:color w:val="000000" w:themeColor="text1"/>
          <w:szCs w:val="21"/>
        </w:rPr>
        <w:t>以电话方式下达指令。对逐笔交割的场外交易，交易员应负责办理相关的协议签订和单证用印手续，遵守合同管理相关规定。</w:t>
      </w:r>
    </w:p>
    <w:p w:rsidR="005D04EB" w:rsidRPr="009D7EB8" w:rsidRDefault="008A336F" w:rsidP="00821A70">
      <w:pPr>
        <w:pStyle w:val="a8"/>
        <w:numPr>
          <w:ilvl w:val="0"/>
          <w:numId w:val="21"/>
        </w:numPr>
        <w:tabs>
          <w:tab w:val="left" w:pos="1276"/>
        </w:tabs>
        <w:spacing w:after="240" w:line="360" w:lineRule="auto"/>
        <w:rPr>
          <w:rFonts w:ascii="宋体" w:hAnsi="宋体"/>
          <w:color w:val="000000" w:themeColor="text1"/>
          <w:szCs w:val="21"/>
        </w:rPr>
      </w:pPr>
      <w:r w:rsidRPr="009D7EB8">
        <w:rPr>
          <w:rFonts w:ascii="宋体" w:hAnsi="宋体" w:hint="eastAsia"/>
          <w:color w:val="000000" w:themeColor="text1"/>
          <w:szCs w:val="21"/>
        </w:rPr>
        <w:t>受托机构</w:t>
      </w:r>
      <w:r w:rsidR="005D04EB" w:rsidRPr="009D7EB8">
        <w:rPr>
          <w:rFonts w:ascii="宋体" w:hAnsi="宋体" w:hint="eastAsia"/>
          <w:color w:val="000000" w:themeColor="text1"/>
          <w:szCs w:val="21"/>
        </w:rPr>
        <w:t>应公平对待受托资金，包括账户设置、研究支持、资源分配、人员管理、系统设置等方面。交易系统续启用公平交易模块，获取公平交易模块参数设置情况。在交易层级，对不同投资账户的同类投资指令，以时间优先、价格优先、比例分配为公平交易执行原则。</w:t>
      </w:r>
    </w:p>
    <w:p w:rsidR="0062181B" w:rsidRPr="009D7EB8" w:rsidRDefault="0062181B" w:rsidP="00821A70">
      <w:pPr>
        <w:pStyle w:val="a8"/>
        <w:numPr>
          <w:ilvl w:val="0"/>
          <w:numId w:val="21"/>
        </w:numPr>
        <w:tabs>
          <w:tab w:val="left" w:pos="1276"/>
        </w:tabs>
        <w:spacing w:after="240" w:line="360" w:lineRule="auto"/>
        <w:rPr>
          <w:rFonts w:ascii="宋体" w:hAnsi="宋体"/>
          <w:color w:val="000000" w:themeColor="text1"/>
          <w:szCs w:val="21"/>
        </w:rPr>
      </w:pPr>
      <w:r w:rsidRPr="009D7EB8">
        <w:rPr>
          <w:rFonts w:ascii="宋体" w:hAnsi="宋体" w:hint="eastAsia"/>
          <w:color w:val="000000" w:themeColor="text1"/>
          <w:szCs w:val="21"/>
        </w:rPr>
        <w:t>保险公司及保险资产管理公司应当制定债券买卖合同、分销协议等常用固定收益投资的合同范本，并明确合同范本的修改和审批流程。</w:t>
      </w:r>
    </w:p>
    <w:p w:rsidR="00706817" w:rsidRPr="009D7EB8" w:rsidRDefault="0062181B" w:rsidP="00BD0A20">
      <w:pPr>
        <w:pStyle w:val="a8"/>
        <w:spacing w:after="240" w:line="360" w:lineRule="auto"/>
        <w:ind w:left="420"/>
        <w:rPr>
          <w:rFonts w:ascii="宋体" w:hAnsi="宋体"/>
          <w:color w:val="000000" w:themeColor="text1"/>
          <w:szCs w:val="21"/>
        </w:rPr>
      </w:pPr>
      <w:r w:rsidRPr="009D7EB8">
        <w:rPr>
          <w:rFonts w:ascii="宋体" w:hAnsi="宋体" w:hint="eastAsia"/>
          <w:color w:val="000000" w:themeColor="text1"/>
          <w:szCs w:val="21"/>
        </w:rPr>
        <w:t>固定收益投资相关合同的制作需经相关部门复核，确保投资业务信息与投资决议一致，合同条款合规合法。</w:t>
      </w:r>
    </w:p>
    <w:p w:rsidR="005D04EB" w:rsidRPr="0074309E" w:rsidRDefault="005D04EB" w:rsidP="00821A70">
      <w:pPr>
        <w:pStyle w:val="a8"/>
        <w:numPr>
          <w:ilvl w:val="0"/>
          <w:numId w:val="21"/>
        </w:numPr>
        <w:tabs>
          <w:tab w:val="left" w:pos="1276"/>
        </w:tabs>
        <w:spacing w:after="240" w:line="360" w:lineRule="auto"/>
        <w:rPr>
          <w:rFonts w:ascii="Times New Roman" w:hAnsi="Times New Roman"/>
          <w:color w:val="403F3D"/>
          <w:sz w:val="21"/>
          <w:szCs w:val="21"/>
        </w:rPr>
      </w:pPr>
      <w:r w:rsidRPr="009D7EB8">
        <w:rPr>
          <w:rFonts w:ascii="宋体" w:hAnsi="宋体" w:hint="eastAsia"/>
          <w:color w:val="000000" w:themeColor="text1"/>
          <w:szCs w:val="21"/>
        </w:rPr>
        <w:lastRenderedPageBreak/>
        <w:t>保险机构投资进行固定收益产品投资，应当书面约定手续费及其他相关费用。保险机构与托管银行的资金划拨和费用支付，与证券经营机构的费用支付，均应采用透明方式，通过银行转帐实现</w:t>
      </w:r>
      <w:r w:rsidRPr="009D7EB8">
        <w:rPr>
          <w:rFonts w:ascii="宋体" w:hAnsi="宋体"/>
          <w:color w:val="000000" w:themeColor="text1"/>
          <w:szCs w:val="21"/>
        </w:rPr>
        <w:t>。</w:t>
      </w:r>
    </w:p>
    <w:p w:rsidR="00CD0EDE" w:rsidRPr="009D7EB8" w:rsidRDefault="00CD0EDE" w:rsidP="00821A70">
      <w:pPr>
        <w:pStyle w:val="a8"/>
        <w:numPr>
          <w:ilvl w:val="0"/>
          <w:numId w:val="21"/>
        </w:numPr>
        <w:tabs>
          <w:tab w:val="left" w:pos="1276"/>
        </w:tabs>
        <w:spacing w:after="240" w:line="360" w:lineRule="auto"/>
        <w:rPr>
          <w:rFonts w:ascii="宋体" w:hAnsi="宋体"/>
          <w:color w:val="000000" w:themeColor="text1"/>
          <w:szCs w:val="21"/>
        </w:rPr>
      </w:pPr>
      <w:r w:rsidRPr="009D7EB8">
        <w:rPr>
          <w:rFonts w:ascii="宋体" w:hAnsi="宋体" w:hint="eastAsia"/>
          <w:color w:val="000000" w:themeColor="text1"/>
          <w:szCs w:val="21"/>
        </w:rPr>
        <w:t>每日交易结束后，交易员应当及时整理交易过程中产生的各类交易单据，定期递交档案管理部门</w:t>
      </w:r>
      <w:r w:rsidR="00C33360" w:rsidRPr="009D7EB8">
        <w:rPr>
          <w:rFonts w:ascii="宋体" w:hAnsi="宋体" w:hint="eastAsia"/>
          <w:color w:val="000000" w:themeColor="text1"/>
          <w:szCs w:val="21"/>
        </w:rPr>
        <w:t>及托管行</w:t>
      </w:r>
      <w:r w:rsidRPr="009D7EB8">
        <w:rPr>
          <w:rFonts w:ascii="宋体" w:hAnsi="宋体" w:hint="eastAsia"/>
          <w:color w:val="000000" w:themeColor="text1"/>
          <w:szCs w:val="21"/>
        </w:rPr>
        <w:t>进行归档，以便完整保存</w:t>
      </w:r>
      <w:r w:rsidR="00644F22" w:rsidRPr="009D7EB8">
        <w:rPr>
          <w:rFonts w:ascii="宋体" w:hAnsi="宋体" w:hint="eastAsia"/>
          <w:color w:val="000000" w:themeColor="text1"/>
          <w:szCs w:val="21"/>
        </w:rPr>
        <w:t>投资指令</w:t>
      </w:r>
      <w:r w:rsidRPr="009D7EB8">
        <w:rPr>
          <w:rFonts w:ascii="宋体" w:hAnsi="宋体" w:hint="eastAsia"/>
          <w:color w:val="000000" w:themeColor="text1"/>
          <w:szCs w:val="21"/>
        </w:rPr>
        <w:t>、银行</w:t>
      </w:r>
      <w:r w:rsidR="00644F22" w:rsidRPr="009D7EB8">
        <w:rPr>
          <w:rFonts w:ascii="宋体" w:hAnsi="宋体" w:hint="eastAsia"/>
          <w:color w:val="000000" w:themeColor="text1"/>
          <w:szCs w:val="21"/>
        </w:rPr>
        <w:t>划款指令</w:t>
      </w:r>
      <w:r w:rsidRPr="009D7EB8">
        <w:rPr>
          <w:rFonts w:ascii="宋体" w:hAnsi="宋体" w:hint="eastAsia"/>
          <w:color w:val="000000" w:themeColor="text1"/>
          <w:szCs w:val="21"/>
        </w:rPr>
        <w:t>及其他交易文档。</w:t>
      </w:r>
    </w:p>
    <w:p w:rsidR="001819E6" w:rsidRDefault="003540BD" w:rsidP="00D051D3">
      <w:pPr>
        <w:pStyle w:val="1"/>
        <w:spacing w:before="0" w:afterLines="50" w:line="360" w:lineRule="auto"/>
        <w:jc w:val="center"/>
        <w:rPr>
          <w:rFonts w:ascii="宋体" w:eastAsia="宋体" w:hAnsi="宋体"/>
          <w:color w:val="000000" w:themeColor="text1"/>
          <w:sz w:val="24"/>
          <w:szCs w:val="21"/>
        </w:rPr>
      </w:pPr>
      <w:bookmarkStart w:id="6" w:name="_Toc408578704"/>
      <w:r>
        <w:rPr>
          <w:rFonts w:ascii="宋体" w:eastAsia="宋体" w:hAnsi="宋体" w:hint="eastAsia"/>
          <w:color w:val="000000" w:themeColor="text1"/>
          <w:szCs w:val="21"/>
        </w:rPr>
        <w:t>第五节</w:t>
      </w:r>
      <w:r w:rsidR="00DD14D4">
        <w:rPr>
          <w:rFonts w:ascii="宋体" w:eastAsia="宋体" w:hAnsi="宋体" w:hint="eastAsia"/>
          <w:color w:val="000000" w:themeColor="text1"/>
          <w:szCs w:val="21"/>
        </w:rPr>
        <w:t xml:space="preserve"> </w:t>
      </w:r>
      <w:r w:rsidR="00BF66A8" w:rsidRPr="00BF66A8">
        <w:rPr>
          <w:rFonts w:ascii="宋体" w:eastAsia="宋体" w:hAnsi="宋体" w:hint="eastAsia"/>
          <w:color w:val="000000" w:themeColor="text1"/>
          <w:szCs w:val="21"/>
        </w:rPr>
        <w:t>投资后管理</w:t>
      </w:r>
      <w:bookmarkEnd w:id="6"/>
    </w:p>
    <w:p w:rsidR="009D7EB8" w:rsidRPr="009D7EB8" w:rsidRDefault="00072A9E" w:rsidP="00821A70">
      <w:pPr>
        <w:pStyle w:val="a8"/>
        <w:numPr>
          <w:ilvl w:val="0"/>
          <w:numId w:val="21"/>
        </w:numPr>
        <w:tabs>
          <w:tab w:val="left" w:pos="1134"/>
        </w:tabs>
        <w:spacing w:after="240" w:line="360" w:lineRule="auto"/>
        <w:rPr>
          <w:rFonts w:ascii="宋体" w:hAnsi="宋体"/>
          <w:color w:val="000000" w:themeColor="text1"/>
          <w:szCs w:val="21"/>
        </w:rPr>
      </w:pPr>
      <w:r w:rsidRPr="009D7EB8">
        <w:rPr>
          <w:rFonts w:ascii="宋体" w:hAnsi="宋体" w:hint="eastAsia"/>
          <w:color w:val="000000" w:themeColor="text1"/>
          <w:szCs w:val="21"/>
        </w:rPr>
        <w:t>保险</w:t>
      </w:r>
      <w:r w:rsidR="00BA41C8" w:rsidRPr="009D7EB8">
        <w:rPr>
          <w:rFonts w:ascii="宋体" w:hAnsi="宋体" w:hint="eastAsia"/>
          <w:color w:val="000000" w:themeColor="text1"/>
          <w:szCs w:val="21"/>
        </w:rPr>
        <w:t>机构</w:t>
      </w:r>
      <w:r w:rsidRPr="009D7EB8">
        <w:rPr>
          <w:rFonts w:ascii="宋体" w:hAnsi="宋体" w:hint="eastAsia"/>
          <w:color w:val="000000" w:themeColor="text1"/>
          <w:szCs w:val="21"/>
        </w:rPr>
        <w:t>应当持续跟踪</w:t>
      </w:r>
      <w:r w:rsidR="00677F11" w:rsidRPr="009D7EB8">
        <w:rPr>
          <w:rFonts w:ascii="宋体" w:hAnsi="宋体" w:hint="eastAsia"/>
          <w:color w:val="000000" w:themeColor="text1"/>
          <w:szCs w:val="21"/>
        </w:rPr>
        <w:t>交易对手</w:t>
      </w:r>
      <w:r w:rsidR="00E8499D" w:rsidRPr="009D7EB8">
        <w:rPr>
          <w:rFonts w:ascii="宋体" w:hAnsi="宋体" w:hint="eastAsia"/>
          <w:color w:val="000000" w:themeColor="text1"/>
          <w:szCs w:val="21"/>
        </w:rPr>
        <w:t>信用</w:t>
      </w:r>
      <w:r w:rsidR="00F60483" w:rsidRPr="009D7EB8">
        <w:rPr>
          <w:rFonts w:ascii="宋体" w:hAnsi="宋体" w:hint="eastAsia"/>
          <w:color w:val="000000" w:themeColor="text1"/>
          <w:szCs w:val="21"/>
        </w:rPr>
        <w:t>状况</w:t>
      </w:r>
      <w:r w:rsidR="006D0897" w:rsidRPr="009D7EB8">
        <w:rPr>
          <w:rFonts w:ascii="宋体" w:hAnsi="宋体" w:hint="eastAsia"/>
          <w:color w:val="000000" w:themeColor="text1"/>
          <w:szCs w:val="21"/>
        </w:rPr>
        <w:t>，信用评级发生调整的，应及时告知</w:t>
      </w:r>
      <w:r w:rsidR="00677F11" w:rsidRPr="009D7EB8">
        <w:rPr>
          <w:rFonts w:ascii="宋体" w:hAnsi="宋体" w:hint="eastAsia"/>
          <w:color w:val="000000" w:themeColor="text1"/>
          <w:szCs w:val="21"/>
        </w:rPr>
        <w:t>固定收益</w:t>
      </w:r>
      <w:r w:rsidR="006D0897" w:rsidRPr="009D7EB8">
        <w:rPr>
          <w:rFonts w:ascii="宋体" w:hAnsi="宋体" w:hint="eastAsia"/>
          <w:color w:val="000000" w:themeColor="text1"/>
          <w:szCs w:val="21"/>
        </w:rPr>
        <w:t>投资部门。</w:t>
      </w:r>
      <w:r w:rsidR="00677F11" w:rsidRPr="009D7EB8">
        <w:rPr>
          <w:rFonts w:ascii="宋体" w:hAnsi="宋体" w:hint="eastAsia"/>
          <w:color w:val="000000" w:themeColor="text1"/>
          <w:szCs w:val="21"/>
        </w:rPr>
        <w:t>交易对手</w:t>
      </w:r>
      <w:r w:rsidR="006D0897" w:rsidRPr="009D7EB8">
        <w:rPr>
          <w:rFonts w:ascii="宋体" w:hAnsi="宋体" w:hint="eastAsia"/>
          <w:color w:val="000000" w:themeColor="text1"/>
          <w:szCs w:val="21"/>
        </w:rPr>
        <w:t>发生可能导致其信用恶化的重大事件的，信用风险管理部门应当及时进行风险提示和预警。</w:t>
      </w:r>
    </w:p>
    <w:p w:rsidR="009D7EB8" w:rsidRPr="006B373A" w:rsidRDefault="006A6B12" w:rsidP="009D7EB8">
      <w:pPr>
        <w:pStyle w:val="a8"/>
        <w:numPr>
          <w:ilvl w:val="0"/>
          <w:numId w:val="21"/>
        </w:numPr>
        <w:spacing w:after="240" w:line="360" w:lineRule="auto"/>
        <w:rPr>
          <w:rFonts w:ascii="宋体" w:hAnsi="宋体"/>
          <w:color w:val="000000" w:themeColor="text1"/>
          <w:szCs w:val="21"/>
        </w:rPr>
      </w:pPr>
      <w:r w:rsidRPr="009D7EB8">
        <w:rPr>
          <w:rFonts w:ascii="宋体" w:hAnsi="宋体" w:hint="eastAsia"/>
          <w:color w:val="000000" w:themeColor="text1"/>
          <w:szCs w:val="21"/>
        </w:rPr>
        <w:t>保险</w:t>
      </w:r>
      <w:r w:rsidR="00BA41C8" w:rsidRPr="009D7EB8">
        <w:rPr>
          <w:rFonts w:ascii="宋体" w:hAnsi="宋体" w:hint="eastAsia"/>
          <w:color w:val="000000" w:themeColor="text1"/>
          <w:szCs w:val="21"/>
        </w:rPr>
        <w:t>机构</w:t>
      </w:r>
      <w:r w:rsidR="00CD0EDE" w:rsidRPr="009D7EB8">
        <w:rPr>
          <w:rFonts w:ascii="宋体" w:hAnsi="宋体" w:hint="eastAsia"/>
          <w:color w:val="000000" w:themeColor="text1"/>
          <w:szCs w:val="21"/>
        </w:rPr>
        <w:t>应当</w:t>
      </w:r>
      <w:r w:rsidR="00F279DC" w:rsidRPr="009D7EB8">
        <w:rPr>
          <w:rFonts w:ascii="宋体" w:hAnsi="宋体" w:hint="eastAsia"/>
          <w:color w:val="000000" w:themeColor="text1"/>
          <w:szCs w:val="21"/>
        </w:rPr>
        <w:t>明确</w:t>
      </w:r>
      <w:r w:rsidR="00677F11" w:rsidRPr="009D7EB8">
        <w:rPr>
          <w:rFonts w:ascii="宋体" w:hAnsi="宋体" w:hint="eastAsia"/>
          <w:color w:val="000000" w:themeColor="text1"/>
          <w:szCs w:val="21"/>
        </w:rPr>
        <w:t>固定收益</w:t>
      </w:r>
      <w:r w:rsidR="00F279DC" w:rsidRPr="009D7EB8">
        <w:rPr>
          <w:rFonts w:ascii="宋体" w:hAnsi="宋体" w:hint="eastAsia"/>
          <w:color w:val="000000" w:themeColor="text1"/>
          <w:szCs w:val="21"/>
        </w:rPr>
        <w:t>投资后管理</w:t>
      </w:r>
      <w:r w:rsidR="00507B1F" w:rsidRPr="009D7EB8">
        <w:rPr>
          <w:rFonts w:ascii="宋体" w:hAnsi="宋体" w:hint="eastAsia"/>
          <w:color w:val="000000" w:themeColor="text1"/>
          <w:szCs w:val="21"/>
        </w:rPr>
        <w:t>岗位职责</w:t>
      </w:r>
      <w:r w:rsidR="00CD0EDE" w:rsidRPr="009D7EB8">
        <w:rPr>
          <w:rFonts w:ascii="宋体" w:hAnsi="宋体" w:hint="eastAsia"/>
          <w:color w:val="000000" w:themeColor="text1"/>
          <w:szCs w:val="21"/>
        </w:rPr>
        <w:t>，</w:t>
      </w:r>
      <w:r w:rsidR="00072A9E" w:rsidRPr="009D7EB8">
        <w:rPr>
          <w:rFonts w:ascii="宋体" w:hAnsi="宋体" w:hint="eastAsia"/>
          <w:color w:val="000000" w:themeColor="text1"/>
          <w:szCs w:val="21"/>
        </w:rPr>
        <w:t>跟踪并收集</w:t>
      </w:r>
      <w:r w:rsidR="00677F11" w:rsidRPr="009D7EB8">
        <w:rPr>
          <w:rFonts w:ascii="宋体" w:hAnsi="宋体" w:hint="eastAsia"/>
          <w:color w:val="000000" w:themeColor="text1"/>
          <w:szCs w:val="21"/>
        </w:rPr>
        <w:t>到期日、付息日及</w:t>
      </w:r>
      <w:r w:rsidR="00072A9E" w:rsidRPr="009D7EB8">
        <w:rPr>
          <w:rFonts w:ascii="宋体" w:hAnsi="宋体" w:hint="eastAsia"/>
          <w:color w:val="000000" w:themeColor="text1"/>
          <w:szCs w:val="21"/>
        </w:rPr>
        <w:t>利率变动</w:t>
      </w:r>
      <w:r w:rsidR="00677F11" w:rsidRPr="009D7EB8">
        <w:rPr>
          <w:rFonts w:ascii="宋体" w:hAnsi="宋体" w:hint="eastAsia"/>
          <w:color w:val="000000" w:themeColor="text1"/>
          <w:szCs w:val="21"/>
        </w:rPr>
        <w:t>等</w:t>
      </w:r>
      <w:r w:rsidR="00072A9E" w:rsidRPr="009D7EB8">
        <w:rPr>
          <w:rFonts w:ascii="宋体" w:hAnsi="宋体" w:hint="eastAsia"/>
          <w:color w:val="000000" w:themeColor="text1"/>
          <w:szCs w:val="21"/>
        </w:rPr>
        <w:t>信息</w:t>
      </w:r>
      <w:r w:rsidR="00F60483" w:rsidRPr="009D7EB8">
        <w:rPr>
          <w:rFonts w:ascii="宋体" w:hAnsi="宋体" w:hint="eastAsia"/>
          <w:color w:val="000000" w:themeColor="text1"/>
          <w:szCs w:val="21"/>
        </w:rPr>
        <w:t>，</w:t>
      </w:r>
      <w:r w:rsidR="005A0019" w:rsidRPr="009D7EB8">
        <w:rPr>
          <w:rFonts w:ascii="宋体" w:hAnsi="宋体" w:hint="eastAsia"/>
          <w:color w:val="000000" w:themeColor="text1"/>
          <w:szCs w:val="21"/>
        </w:rPr>
        <w:t>与前台投资经理密切沟通存量债券是否行权，与中台风控沟通组合久期的变动情况等信息，</w:t>
      </w:r>
      <w:r w:rsidR="00F60483" w:rsidRPr="009D7EB8">
        <w:rPr>
          <w:rFonts w:ascii="宋体" w:hAnsi="宋体" w:hint="eastAsia"/>
          <w:color w:val="000000" w:themeColor="text1"/>
          <w:szCs w:val="21"/>
        </w:rPr>
        <w:t>及时调整或要求托管行调整应收利息数据</w:t>
      </w:r>
      <w:r w:rsidR="00677F11" w:rsidRPr="009D7EB8">
        <w:rPr>
          <w:rFonts w:ascii="宋体" w:hAnsi="宋体" w:hint="eastAsia"/>
          <w:color w:val="000000" w:themeColor="text1"/>
          <w:szCs w:val="21"/>
        </w:rPr>
        <w:t>，确保</w:t>
      </w:r>
      <w:r w:rsidR="00F60483" w:rsidRPr="009D7EB8">
        <w:rPr>
          <w:rFonts w:ascii="宋体" w:hAnsi="宋体" w:hint="eastAsia"/>
          <w:color w:val="000000" w:themeColor="text1"/>
          <w:szCs w:val="21"/>
        </w:rPr>
        <w:t>及时</w:t>
      </w:r>
      <w:r w:rsidR="00E92A80" w:rsidRPr="009D7EB8">
        <w:rPr>
          <w:rFonts w:ascii="宋体" w:hAnsi="宋体" w:hint="eastAsia"/>
          <w:color w:val="000000" w:themeColor="text1"/>
          <w:szCs w:val="21"/>
        </w:rPr>
        <w:t>支取本息</w:t>
      </w:r>
      <w:r w:rsidR="00CD0EDE" w:rsidRPr="009D7EB8">
        <w:rPr>
          <w:rFonts w:ascii="宋体" w:hAnsi="宋体" w:hint="eastAsia"/>
          <w:color w:val="000000" w:themeColor="text1"/>
          <w:szCs w:val="21"/>
        </w:rPr>
        <w:t>。</w:t>
      </w:r>
    </w:p>
    <w:p w:rsidR="00E53021" w:rsidRPr="009D7EB8" w:rsidRDefault="006A6B12" w:rsidP="009D7EB8">
      <w:pPr>
        <w:pStyle w:val="a8"/>
        <w:numPr>
          <w:ilvl w:val="0"/>
          <w:numId w:val="21"/>
        </w:numPr>
        <w:spacing w:after="240" w:line="360" w:lineRule="auto"/>
        <w:rPr>
          <w:rFonts w:ascii="宋体" w:hAnsi="宋体"/>
          <w:color w:val="000000" w:themeColor="text1"/>
          <w:szCs w:val="21"/>
        </w:rPr>
      </w:pPr>
      <w:r w:rsidRPr="009D7EB8">
        <w:rPr>
          <w:rFonts w:ascii="宋体" w:hAnsi="宋体" w:hint="eastAsia"/>
          <w:color w:val="000000" w:themeColor="text1"/>
          <w:szCs w:val="21"/>
        </w:rPr>
        <w:t>保险</w:t>
      </w:r>
      <w:r w:rsidR="00BA41C8" w:rsidRPr="009D7EB8">
        <w:rPr>
          <w:rFonts w:ascii="宋体" w:hAnsi="宋体" w:hint="eastAsia"/>
          <w:color w:val="000000" w:themeColor="text1"/>
          <w:szCs w:val="21"/>
        </w:rPr>
        <w:t>机构</w:t>
      </w:r>
      <w:r w:rsidR="00CD0EDE" w:rsidRPr="009D7EB8">
        <w:rPr>
          <w:rFonts w:ascii="宋体" w:hAnsi="宋体" w:hint="eastAsia"/>
          <w:color w:val="000000" w:themeColor="text1"/>
          <w:szCs w:val="21"/>
        </w:rPr>
        <w:t>应</w:t>
      </w:r>
      <w:r w:rsidR="00E53021" w:rsidRPr="009D7EB8">
        <w:rPr>
          <w:rFonts w:ascii="宋体" w:hAnsi="宋体" w:hint="eastAsia"/>
          <w:color w:val="000000" w:themeColor="text1"/>
          <w:szCs w:val="21"/>
        </w:rPr>
        <w:t>针对</w:t>
      </w:r>
      <w:r w:rsidR="008447F6" w:rsidRPr="009D7EB8">
        <w:rPr>
          <w:rFonts w:ascii="宋体" w:hAnsi="宋体" w:hint="eastAsia"/>
          <w:color w:val="000000" w:themeColor="text1"/>
          <w:szCs w:val="21"/>
        </w:rPr>
        <w:t>交易对手方未能按时全额支付</w:t>
      </w:r>
      <w:r w:rsidR="00E53021" w:rsidRPr="009D7EB8">
        <w:rPr>
          <w:rFonts w:ascii="宋体" w:hAnsi="宋体" w:hint="eastAsia"/>
          <w:color w:val="000000" w:themeColor="text1"/>
          <w:szCs w:val="21"/>
        </w:rPr>
        <w:t>本金或利息的情况制定应对机制，</w:t>
      </w:r>
      <w:r w:rsidR="00BA41C8" w:rsidRPr="009D7EB8">
        <w:rPr>
          <w:rFonts w:ascii="宋体" w:hAnsi="宋体" w:hint="eastAsia"/>
          <w:color w:val="000000" w:themeColor="text1"/>
          <w:szCs w:val="21"/>
        </w:rPr>
        <w:t>启动催收流程，并在</w:t>
      </w:r>
      <w:r w:rsidR="00E53021" w:rsidRPr="009D7EB8">
        <w:rPr>
          <w:rFonts w:ascii="宋体" w:hAnsi="宋体" w:hint="eastAsia"/>
          <w:color w:val="000000" w:themeColor="text1"/>
          <w:szCs w:val="21"/>
        </w:rPr>
        <w:t>必要时应启动重大突发事件应急机制。</w:t>
      </w:r>
    </w:p>
    <w:p w:rsidR="00DE2DBF" w:rsidRPr="009D7EB8" w:rsidRDefault="00DE2DBF" w:rsidP="009D7EB8">
      <w:pPr>
        <w:pStyle w:val="a8"/>
        <w:numPr>
          <w:ilvl w:val="0"/>
          <w:numId w:val="21"/>
        </w:numPr>
        <w:spacing w:after="240" w:line="360" w:lineRule="auto"/>
        <w:rPr>
          <w:rFonts w:ascii="宋体" w:hAnsi="宋体"/>
          <w:color w:val="000000" w:themeColor="text1"/>
          <w:szCs w:val="21"/>
        </w:rPr>
      </w:pPr>
      <w:r w:rsidRPr="009D7EB8">
        <w:rPr>
          <w:rFonts w:ascii="宋体" w:hAnsi="宋体" w:hint="eastAsia"/>
          <w:color w:val="000000" w:themeColor="text1"/>
          <w:szCs w:val="21"/>
        </w:rPr>
        <w:t>保险机构</w:t>
      </w:r>
      <w:r w:rsidRPr="009D7EB8">
        <w:rPr>
          <w:rFonts w:ascii="Arial" w:hAnsi="宋体" w:cs="Arial"/>
          <w:szCs w:val="24"/>
        </w:rPr>
        <w:t>应当明确各种</w:t>
      </w:r>
      <w:r w:rsidRPr="009D7EB8">
        <w:rPr>
          <w:rFonts w:ascii="Arial" w:hAnsi="宋体" w:cs="Arial" w:hint="eastAsia"/>
          <w:szCs w:val="24"/>
        </w:rPr>
        <w:t>固定收益投资</w:t>
      </w:r>
      <w:r w:rsidRPr="009D7EB8">
        <w:rPr>
          <w:rFonts w:ascii="Arial" w:hAnsi="宋体" w:cs="Arial"/>
          <w:szCs w:val="24"/>
        </w:rPr>
        <w:t>业务相关文件资料的取得、归档、保管、调阅等各个环节的管理规定及相关人员的职责权限</w:t>
      </w:r>
      <w:r w:rsidRPr="009D7EB8">
        <w:rPr>
          <w:rFonts w:ascii="Arial" w:hAnsi="宋体" w:cs="Arial" w:hint="eastAsia"/>
          <w:szCs w:val="24"/>
        </w:rPr>
        <w:t>。</w:t>
      </w:r>
    </w:p>
    <w:p w:rsidR="00E43F41" w:rsidRPr="00E53021" w:rsidRDefault="00CD0EDE" w:rsidP="009D7EB8">
      <w:pPr>
        <w:pStyle w:val="a8"/>
        <w:numPr>
          <w:ilvl w:val="0"/>
          <w:numId w:val="21"/>
        </w:numPr>
        <w:spacing w:after="240" w:line="360" w:lineRule="auto"/>
      </w:pPr>
      <w:r w:rsidRPr="009D7EB8">
        <w:rPr>
          <w:rFonts w:ascii="宋体" w:hAnsi="宋体" w:hint="eastAsia"/>
          <w:color w:val="000000" w:themeColor="text1"/>
          <w:szCs w:val="21"/>
        </w:rPr>
        <w:t>按照监管机构对于</w:t>
      </w:r>
      <w:r w:rsidR="00D7326A" w:rsidRPr="009D7EB8">
        <w:rPr>
          <w:rFonts w:ascii="宋体" w:hAnsi="宋体" w:hint="eastAsia"/>
          <w:color w:val="000000" w:themeColor="text1"/>
          <w:szCs w:val="21"/>
        </w:rPr>
        <w:t>固定收益投资</w:t>
      </w:r>
      <w:r w:rsidRPr="009D7EB8">
        <w:rPr>
          <w:rFonts w:ascii="宋体" w:hAnsi="宋体" w:hint="eastAsia"/>
          <w:color w:val="000000" w:themeColor="text1"/>
          <w:szCs w:val="21"/>
        </w:rPr>
        <w:t>的有关规定</w:t>
      </w:r>
      <w:r w:rsidR="00E53021" w:rsidRPr="009D7EB8">
        <w:rPr>
          <w:rFonts w:ascii="宋体" w:hAnsi="宋体" w:hint="eastAsia"/>
          <w:color w:val="000000" w:themeColor="text1"/>
          <w:szCs w:val="21"/>
        </w:rPr>
        <w:t>，及时、真实、准确、完整地向监管机构提交报告、报表、文件和资料。</w:t>
      </w:r>
    </w:p>
    <w:sectPr w:rsidR="00E43F41" w:rsidRPr="00E53021" w:rsidSect="00705445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FB3" w:rsidRDefault="00D81FB3" w:rsidP="002648AF">
      <w:pPr>
        <w:spacing w:after="0" w:line="240" w:lineRule="auto"/>
      </w:pPr>
      <w:r>
        <w:separator/>
      </w:r>
    </w:p>
  </w:endnote>
  <w:endnote w:type="continuationSeparator" w:id="1">
    <w:p w:rsidR="00D81FB3" w:rsidRDefault="00D81FB3" w:rsidP="0026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2837698"/>
      <w:docPartObj>
        <w:docPartGallery w:val="Page Numbers (Bottom of Page)"/>
        <w:docPartUnique/>
      </w:docPartObj>
    </w:sdtPr>
    <w:sdtContent>
      <w:p w:rsidR="005F191F" w:rsidRDefault="00AF1391" w:rsidP="00C1770A">
        <w:pPr>
          <w:pStyle w:val="a7"/>
          <w:jc w:val="center"/>
        </w:pPr>
        <w:r>
          <w:fldChar w:fldCharType="begin"/>
        </w:r>
        <w:r w:rsidR="005F191F">
          <w:instrText>PAGE   \* MERGEFORMAT</w:instrText>
        </w:r>
        <w:r>
          <w:fldChar w:fldCharType="separate"/>
        </w:r>
        <w:r w:rsidR="00D051D3" w:rsidRPr="00D051D3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FB3" w:rsidRDefault="00D81FB3" w:rsidP="002648AF">
      <w:pPr>
        <w:spacing w:after="0" w:line="240" w:lineRule="auto"/>
      </w:pPr>
      <w:r>
        <w:separator/>
      </w:r>
    </w:p>
  </w:footnote>
  <w:footnote w:type="continuationSeparator" w:id="1">
    <w:p w:rsidR="00D81FB3" w:rsidRDefault="00D81FB3" w:rsidP="00264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91F" w:rsidRPr="00013CF6" w:rsidRDefault="005F191F" w:rsidP="0092480A">
    <w:pPr>
      <w:pStyle w:val="a6"/>
      <w:jc w:val="center"/>
      <w:rPr>
        <w:noProof/>
      </w:rPr>
    </w:pPr>
    <w:r w:rsidRPr="00013CF6">
      <w:rPr>
        <w:rFonts w:hint="eastAsia"/>
        <w:noProof/>
      </w:rPr>
      <w:t>保险资金运用内部控制应用指引第</w:t>
    </w:r>
    <w:r>
      <w:rPr>
        <w:rFonts w:hint="eastAsia"/>
        <w:noProof/>
      </w:rPr>
      <w:t>2</w:t>
    </w:r>
    <w:r>
      <w:rPr>
        <w:rFonts w:hint="eastAsia"/>
        <w:noProof/>
      </w:rPr>
      <w:t>号——固定收益投资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07E8"/>
    <w:multiLevelType w:val="hybridMultilevel"/>
    <w:tmpl w:val="F3604038"/>
    <w:lvl w:ilvl="0" w:tplc="21E49E64">
      <w:start w:val="4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8767A"/>
    <w:multiLevelType w:val="hybridMultilevel"/>
    <w:tmpl w:val="3CBAF7E2"/>
    <w:lvl w:ilvl="0" w:tplc="5CDA92E8">
      <w:start w:val="1"/>
      <w:numFmt w:val="japaneseCounting"/>
      <w:lvlText w:val="（%1）"/>
      <w:lvlJc w:val="left"/>
      <w:pPr>
        <w:ind w:left="1215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E412B1"/>
    <w:multiLevelType w:val="hybridMultilevel"/>
    <w:tmpl w:val="8DBA87C2"/>
    <w:lvl w:ilvl="0" w:tplc="4468A800">
      <w:start w:val="1"/>
      <w:numFmt w:val="chineseCountingThousand"/>
      <w:lvlText w:val="第%1条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792E9F"/>
    <w:multiLevelType w:val="hybridMultilevel"/>
    <w:tmpl w:val="5838B68E"/>
    <w:lvl w:ilvl="0" w:tplc="9CBC860E">
      <w:start w:val="4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F1E94"/>
    <w:multiLevelType w:val="hybridMultilevel"/>
    <w:tmpl w:val="EE40B8B8"/>
    <w:lvl w:ilvl="0" w:tplc="49F25DB2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859B7"/>
    <w:multiLevelType w:val="hybridMultilevel"/>
    <w:tmpl w:val="18A279BE"/>
    <w:lvl w:ilvl="0" w:tplc="DB54BA24">
      <w:start w:val="1"/>
      <w:numFmt w:val="japaneseCounting"/>
      <w:lvlText w:val="（%1）"/>
      <w:lvlJc w:val="left"/>
      <w:pPr>
        <w:ind w:left="1590" w:hanging="1110"/>
      </w:pPr>
      <w:rPr>
        <w:rFonts w:hint="default"/>
        <w:lang w:val="en-GB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1BF0769B"/>
    <w:multiLevelType w:val="hybridMultilevel"/>
    <w:tmpl w:val="18A279BE"/>
    <w:lvl w:ilvl="0" w:tplc="DB54BA24">
      <w:start w:val="1"/>
      <w:numFmt w:val="japaneseCounting"/>
      <w:lvlText w:val="（%1）"/>
      <w:lvlJc w:val="left"/>
      <w:pPr>
        <w:ind w:left="1590" w:hanging="1110"/>
      </w:pPr>
      <w:rPr>
        <w:rFonts w:hint="default"/>
        <w:lang w:val="en-GB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CAD4C8B"/>
    <w:multiLevelType w:val="hybridMultilevel"/>
    <w:tmpl w:val="9078C136"/>
    <w:lvl w:ilvl="0" w:tplc="4468A800">
      <w:start w:val="1"/>
      <w:numFmt w:val="chineseCountingThousand"/>
      <w:lvlText w:val="第%1条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2F70C24"/>
    <w:multiLevelType w:val="hybridMultilevel"/>
    <w:tmpl w:val="9F120360"/>
    <w:lvl w:ilvl="0" w:tplc="323225B2">
      <w:start w:val="1"/>
      <w:numFmt w:val="japaneseCounting"/>
      <w:lvlText w:val="（%1）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9">
    <w:nsid w:val="2EE53B5E"/>
    <w:multiLevelType w:val="hybridMultilevel"/>
    <w:tmpl w:val="4D24DF24"/>
    <w:lvl w:ilvl="0" w:tplc="AF969C58">
      <w:start w:val="1"/>
      <w:numFmt w:val="japaneseCounting"/>
      <w:lvlText w:val="第%1条"/>
      <w:lvlJc w:val="left"/>
      <w:pPr>
        <w:ind w:left="840" w:hanging="84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289783C"/>
    <w:multiLevelType w:val="hybridMultilevel"/>
    <w:tmpl w:val="E6FA9CEE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33475DEE"/>
    <w:multiLevelType w:val="hybridMultilevel"/>
    <w:tmpl w:val="EC02A6AA"/>
    <w:lvl w:ilvl="0" w:tplc="B8144A82">
      <w:start w:val="1"/>
      <w:numFmt w:val="japaneseCounting"/>
      <w:lvlText w:val="（%1）"/>
      <w:lvlJc w:val="left"/>
      <w:pPr>
        <w:ind w:left="1590" w:hanging="11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37EC1A93"/>
    <w:multiLevelType w:val="hybridMultilevel"/>
    <w:tmpl w:val="EC02A6AA"/>
    <w:lvl w:ilvl="0" w:tplc="B8144A82">
      <w:start w:val="1"/>
      <w:numFmt w:val="japaneseCounting"/>
      <w:lvlText w:val="（%1）"/>
      <w:lvlJc w:val="left"/>
      <w:pPr>
        <w:ind w:left="1590" w:hanging="11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38611FD7"/>
    <w:multiLevelType w:val="hybridMultilevel"/>
    <w:tmpl w:val="CFC2E61A"/>
    <w:lvl w:ilvl="0" w:tplc="FC668BDE">
      <w:start w:val="1"/>
      <w:numFmt w:val="japaneseCounting"/>
      <w:lvlText w:val="（%1）"/>
      <w:lvlJc w:val="left"/>
      <w:pPr>
        <w:ind w:left="1590" w:hanging="1110"/>
      </w:pPr>
      <w:rPr>
        <w:rFonts w:hint="default"/>
        <w:lang w:val="en-GB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3DDE2166"/>
    <w:multiLevelType w:val="hybridMultilevel"/>
    <w:tmpl w:val="E2CC6B40"/>
    <w:lvl w:ilvl="0" w:tplc="ED78A302">
      <w:start w:val="1"/>
      <w:numFmt w:val="chineseCountingThousand"/>
      <w:lvlText w:val="第%1条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C504FC9"/>
    <w:multiLevelType w:val="hybridMultilevel"/>
    <w:tmpl w:val="3B4893D4"/>
    <w:lvl w:ilvl="0" w:tplc="4468A800">
      <w:start w:val="1"/>
      <w:numFmt w:val="chineseCountingThousand"/>
      <w:lvlText w:val="第%1条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5596CC0"/>
    <w:multiLevelType w:val="hybridMultilevel"/>
    <w:tmpl w:val="BB321E54"/>
    <w:lvl w:ilvl="0" w:tplc="4468A800">
      <w:start w:val="1"/>
      <w:numFmt w:val="chineseCountingThousand"/>
      <w:lvlText w:val="第%1条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5FB5178"/>
    <w:multiLevelType w:val="hybridMultilevel"/>
    <w:tmpl w:val="E1365476"/>
    <w:lvl w:ilvl="0" w:tplc="8E84D752">
      <w:start w:val="3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A65F4"/>
    <w:multiLevelType w:val="hybridMultilevel"/>
    <w:tmpl w:val="3A0C6550"/>
    <w:lvl w:ilvl="0" w:tplc="12D82DE6">
      <w:start w:val="4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CC7B31"/>
    <w:multiLevelType w:val="hybridMultilevel"/>
    <w:tmpl w:val="A2229C6C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>
    <w:nsid w:val="5C056E7B"/>
    <w:multiLevelType w:val="hybridMultilevel"/>
    <w:tmpl w:val="5E66F476"/>
    <w:lvl w:ilvl="0" w:tplc="C694B57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CEF7E82"/>
    <w:multiLevelType w:val="hybridMultilevel"/>
    <w:tmpl w:val="EC02A6AA"/>
    <w:lvl w:ilvl="0" w:tplc="B8144A82">
      <w:start w:val="1"/>
      <w:numFmt w:val="japaneseCounting"/>
      <w:lvlText w:val="（%1）"/>
      <w:lvlJc w:val="left"/>
      <w:pPr>
        <w:ind w:left="1590" w:hanging="11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>
    <w:nsid w:val="60950744"/>
    <w:multiLevelType w:val="hybridMultilevel"/>
    <w:tmpl w:val="6456CC80"/>
    <w:lvl w:ilvl="0" w:tplc="A12ED274">
      <w:start w:val="1"/>
      <w:numFmt w:val="japaneseCounting"/>
      <w:lvlText w:val="第%1条"/>
      <w:lvlJc w:val="left"/>
      <w:pPr>
        <w:ind w:left="750" w:hanging="75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8874BAA"/>
    <w:multiLevelType w:val="hybridMultilevel"/>
    <w:tmpl w:val="EE1AE350"/>
    <w:lvl w:ilvl="0" w:tplc="ED78A302">
      <w:start w:val="1"/>
      <w:numFmt w:val="chineseCountingThousand"/>
      <w:lvlText w:val="第%1条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A8547E4"/>
    <w:multiLevelType w:val="hybridMultilevel"/>
    <w:tmpl w:val="98F2E846"/>
    <w:lvl w:ilvl="0" w:tplc="2D3E080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706B03C2"/>
    <w:multiLevelType w:val="hybridMultilevel"/>
    <w:tmpl w:val="C8F4CF88"/>
    <w:lvl w:ilvl="0" w:tplc="ED78A302">
      <w:start w:val="1"/>
      <w:numFmt w:val="chineseCountingThousand"/>
      <w:lvlText w:val="第%1条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1D0091A"/>
    <w:multiLevelType w:val="hybridMultilevel"/>
    <w:tmpl w:val="D2CEA756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>
    <w:nsid w:val="75521E6C"/>
    <w:multiLevelType w:val="hybridMultilevel"/>
    <w:tmpl w:val="9AF6791C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>
    <w:nsid w:val="7F035F71"/>
    <w:multiLevelType w:val="hybridMultilevel"/>
    <w:tmpl w:val="2DDA755C"/>
    <w:lvl w:ilvl="0" w:tplc="C4FC9AD2">
      <w:start w:val="1"/>
      <w:numFmt w:val="chineseCountingThousand"/>
      <w:lvlText w:val="第%1条"/>
      <w:lvlJc w:val="left"/>
      <w:pPr>
        <w:ind w:left="420" w:hanging="420"/>
      </w:pPr>
      <w:rPr>
        <w:rFonts w:hint="default"/>
        <w:b/>
        <w:sz w:val="24"/>
        <w:szCs w:val="24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7"/>
  </w:num>
  <w:num w:numId="2">
    <w:abstractNumId w:val="10"/>
  </w:num>
  <w:num w:numId="3">
    <w:abstractNumId w:val="19"/>
  </w:num>
  <w:num w:numId="4">
    <w:abstractNumId w:val="26"/>
  </w:num>
  <w:num w:numId="5">
    <w:abstractNumId w:val="20"/>
  </w:num>
  <w:num w:numId="6">
    <w:abstractNumId w:val="3"/>
  </w:num>
  <w:num w:numId="7">
    <w:abstractNumId w:val="0"/>
  </w:num>
  <w:num w:numId="8">
    <w:abstractNumId w:val="17"/>
  </w:num>
  <w:num w:numId="9">
    <w:abstractNumId w:val="18"/>
  </w:num>
  <w:num w:numId="10">
    <w:abstractNumId w:val="24"/>
  </w:num>
  <w:num w:numId="11">
    <w:abstractNumId w:val="8"/>
  </w:num>
  <w:num w:numId="12">
    <w:abstractNumId w:val="22"/>
  </w:num>
  <w:num w:numId="13">
    <w:abstractNumId w:val="12"/>
  </w:num>
  <w:num w:numId="14">
    <w:abstractNumId w:val="11"/>
  </w:num>
  <w:num w:numId="15">
    <w:abstractNumId w:val="21"/>
  </w:num>
  <w:num w:numId="16">
    <w:abstractNumId w:val="6"/>
  </w:num>
  <w:num w:numId="17">
    <w:abstractNumId w:val="1"/>
  </w:num>
  <w:num w:numId="18">
    <w:abstractNumId w:val="13"/>
  </w:num>
  <w:num w:numId="19">
    <w:abstractNumId w:val="5"/>
  </w:num>
  <w:num w:numId="20">
    <w:abstractNumId w:val="4"/>
  </w:num>
  <w:num w:numId="21">
    <w:abstractNumId w:val="28"/>
  </w:num>
  <w:num w:numId="22">
    <w:abstractNumId w:val="9"/>
  </w:num>
  <w:num w:numId="23">
    <w:abstractNumId w:val="16"/>
  </w:num>
  <w:num w:numId="24">
    <w:abstractNumId w:val="15"/>
  </w:num>
  <w:num w:numId="25">
    <w:abstractNumId w:val="2"/>
  </w:num>
  <w:num w:numId="26">
    <w:abstractNumId w:val="7"/>
  </w:num>
  <w:num w:numId="27">
    <w:abstractNumId w:val="14"/>
  </w:num>
  <w:num w:numId="28">
    <w:abstractNumId w:val="23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710F"/>
    <w:rsid w:val="000015A1"/>
    <w:rsid w:val="00011799"/>
    <w:rsid w:val="00011904"/>
    <w:rsid w:val="00013CF6"/>
    <w:rsid w:val="000150E2"/>
    <w:rsid w:val="00020AEC"/>
    <w:rsid w:val="000240BC"/>
    <w:rsid w:val="00025C27"/>
    <w:rsid w:val="00026F2D"/>
    <w:rsid w:val="000303E7"/>
    <w:rsid w:val="00032367"/>
    <w:rsid w:val="0003559C"/>
    <w:rsid w:val="00036CB2"/>
    <w:rsid w:val="000445DD"/>
    <w:rsid w:val="00044711"/>
    <w:rsid w:val="0005710F"/>
    <w:rsid w:val="000608B8"/>
    <w:rsid w:val="000677CE"/>
    <w:rsid w:val="00072A9E"/>
    <w:rsid w:val="000760BD"/>
    <w:rsid w:val="00077B8E"/>
    <w:rsid w:val="000806DA"/>
    <w:rsid w:val="00080CCA"/>
    <w:rsid w:val="00081B0D"/>
    <w:rsid w:val="00091699"/>
    <w:rsid w:val="000A696F"/>
    <w:rsid w:val="000B3BBC"/>
    <w:rsid w:val="000B6B61"/>
    <w:rsid w:val="000C02B1"/>
    <w:rsid w:val="000C6E79"/>
    <w:rsid w:val="000D10B3"/>
    <w:rsid w:val="000D2AC3"/>
    <w:rsid w:val="000D6C55"/>
    <w:rsid w:val="000E5260"/>
    <w:rsid w:val="000E7604"/>
    <w:rsid w:val="00106DCC"/>
    <w:rsid w:val="00116808"/>
    <w:rsid w:val="001255CC"/>
    <w:rsid w:val="001271F2"/>
    <w:rsid w:val="001307B7"/>
    <w:rsid w:val="00131CCA"/>
    <w:rsid w:val="001357EC"/>
    <w:rsid w:val="001359A8"/>
    <w:rsid w:val="00136257"/>
    <w:rsid w:val="00136492"/>
    <w:rsid w:val="0014090D"/>
    <w:rsid w:val="0014295C"/>
    <w:rsid w:val="00151D6C"/>
    <w:rsid w:val="0015221E"/>
    <w:rsid w:val="00154CCF"/>
    <w:rsid w:val="00165B26"/>
    <w:rsid w:val="001819E6"/>
    <w:rsid w:val="00181A6F"/>
    <w:rsid w:val="00187F43"/>
    <w:rsid w:val="00196D77"/>
    <w:rsid w:val="001971C5"/>
    <w:rsid w:val="00197CB8"/>
    <w:rsid w:val="001A3F01"/>
    <w:rsid w:val="001B0557"/>
    <w:rsid w:val="001B6789"/>
    <w:rsid w:val="001C2FB5"/>
    <w:rsid w:val="001D0D60"/>
    <w:rsid w:val="001E44C1"/>
    <w:rsid w:val="001E6385"/>
    <w:rsid w:val="001E6FCA"/>
    <w:rsid w:val="001F29EE"/>
    <w:rsid w:val="00200163"/>
    <w:rsid w:val="0020092A"/>
    <w:rsid w:val="00201CA5"/>
    <w:rsid w:val="00214315"/>
    <w:rsid w:val="002173E9"/>
    <w:rsid w:val="00220904"/>
    <w:rsid w:val="00220907"/>
    <w:rsid w:val="0024104E"/>
    <w:rsid w:val="00244984"/>
    <w:rsid w:val="0024697D"/>
    <w:rsid w:val="002518A2"/>
    <w:rsid w:val="00253F7B"/>
    <w:rsid w:val="00255550"/>
    <w:rsid w:val="0026462B"/>
    <w:rsid w:val="002648AF"/>
    <w:rsid w:val="0027394B"/>
    <w:rsid w:val="00276DE2"/>
    <w:rsid w:val="00287723"/>
    <w:rsid w:val="00287B51"/>
    <w:rsid w:val="00290F1F"/>
    <w:rsid w:val="002B1251"/>
    <w:rsid w:val="002B31BA"/>
    <w:rsid w:val="002B6898"/>
    <w:rsid w:val="002D4C84"/>
    <w:rsid w:val="002E16AC"/>
    <w:rsid w:val="002E4D29"/>
    <w:rsid w:val="002F4CC3"/>
    <w:rsid w:val="002F69B9"/>
    <w:rsid w:val="00302E3F"/>
    <w:rsid w:val="00307F17"/>
    <w:rsid w:val="00317255"/>
    <w:rsid w:val="00322318"/>
    <w:rsid w:val="00334488"/>
    <w:rsid w:val="00341C9F"/>
    <w:rsid w:val="0034328D"/>
    <w:rsid w:val="003438FD"/>
    <w:rsid w:val="00347E2C"/>
    <w:rsid w:val="00354063"/>
    <w:rsid w:val="003540BD"/>
    <w:rsid w:val="0035620A"/>
    <w:rsid w:val="0036481C"/>
    <w:rsid w:val="0036755F"/>
    <w:rsid w:val="00367649"/>
    <w:rsid w:val="003757F0"/>
    <w:rsid w:val="00380F44"/>
    <w:rsid w:val="0039314E"/>
    <w:rsid w:val="00393F00"/>
    <w:rsid w:val="00394B4F"/>
    <w:rsid w:val="003C309C"/>
    <w:rsid w:val="003C7231"/>
    <w:rsid w:val="003D3E8B"/>
    <w:rsid w:val="003D42E8"/>
    <w:rsid w:val="003E3428"/>
    <w:rsid w:val="003E73AB"/>
    <w:rsid w:val="004111EB"/>
    <w:rsid w:val="00411E1F"/>
    <w:rsid w:val="00412D4D"/>
    <w:rsid w:val="0042003E"/>
    <w:rsid w:val="00420EEE"/>
    <w:rsid w:val="004225F4"/>
    <w:rsid w:val="004265A5"/>
    <w:rsid w:val="00434C5A"/>
    <w:rsid w:val="00436DC8"/>
    <w:rsid w:val="00440364"/>
    <w:rsid w:val="00460B99"/>
    <w:rsid w:val="0046241C"/>
    <w:rsid w:val="00462F6D"/>
    <w:rsid w:val="00473DCE"/>
    <w:rsid w:val="004748AC"/>
    <w:rsid w:val="004860A1"/>
    <w:rsid w:val="00486781"/>
    <w:rsid w:val="0049350F"/>
    <w:rsid w:val="004A7B17"/>
    <w:rsid w:val="004B2AD1"/>
    <w:rsid w:val="004B406E"/>
    <w:rsid w:val="004B5040"/>
    <w:rsid w:val="004B5FED"/>
    <w:rsid w:val="004C3D21"/>
    <w:rsid w:val="004C4581"/>
    <w:rsid w:val="004E1A92"/>
    <w:rsid w:val="004E3EED"/>
    <w:rsid w:val="0050385E"/>
    <w:rsid w:val="005071DE"/>
    <w:rsid w:val="005071ED"/>
    <w:rsid w:val="00507B1F"/>
    <w:rsid w:val="00512955"/>
    <w:rsid w:val="0051375B"/>
    <w:rsid w:val="00524F7D"/>
    <w:rsid w:val="0053028E"/>
    <w:rsid w:val="00531E4E"/>
    <w:rsid w:val="005355F3"/>
    <w:rsid w:val="00543901"/>
    <w:rsid w:val="0055441F"/>
    <w:rsid w:val="005622BF"/>
    <w:rsid w:val="0057205B"/>
    <w:rsid w:val="00582302"/>
    <w:rsid w:val="00585B73"/>
    <w:rsid w:val="005A0019"/>
    <w:rsid w:val="005A207E"/>
    <w:rsid w:val="005A64DC"/>
    <w:rsid w:val="005B2650"/>
    <w:rsid w:val="005B353B"/>
    <w:rsid w:val="005B647B"/>
    <w:rsid w:val="005B6D19"/>
    <w:rsid w:val="005B784C"/>
    <w:rsid w:val="005C29A4"/>
    <w:rsid w:val="005C3C0C"/>
    <w:rsid w:val="005D04EB"/>
    <w:rsid w:val="005D2647"/>
    <w:rsid w:val="005D69F8"/>
    <w:rsid w:val="005D7C71"/>
    <w:rsid w:val="005E03DF"/>
    <w:rsid w:val="005E0A10"/>
    <w:rsid w:val="005E2F06"/>
    <w:rsid w:val="005F191F"/>
    <w:rsid w:val="005F2999"/>
    <w:rsid w:val="005F42C4"/>
    <w:rsid w:val="005F7FFA"/>
    <w:rsid w:val="00601E78"/>
    <w:rsid w:val="00606F2B"/>
    <w:rsid w:val="0061052D"/>
    <w:rsid w:val="0062181B"/>
    <w:rsid w:val="00625655"/>
    <w:rsid w:val="00626FF3"/>
    <w:rsid w:val="00635864"/>
    <w:rsid w:val="0064175C"/>
    <w:rsid w:val="00644F22"/>
    <w:rsid w:val="006566FC"/>
    <w:rsid w:val="00662721"/>
    <w:rsid w:val="00662C27"/>
    <w:rsid w:val="0066367C"/>
    <w:rsid w:val="00665EF9"/>
    <w:rsid w:val="00667F0C"/>
    <w:rsid w:val="00671B6F"/>
    <w:rsid w:val="00672E4F"/>
    <w:rsid w:val="00674D37"/>
    <w:rsid w:val="00677A55"/>
    <w:rsid w:val="00677F11"/>
    <w:rsid w:val="00681F68"/>
    <w:rsid w:val="00682FC9"/>
    <w:rsid w:val="00695EDA"/>
    <w:rsid w:val="006A0BF8"/>
    <w:rsid w:val="006A3597"/>
    <w:rsid w:val="006A4BAC"/>
    <w:rsid w:val="006A6B12"/>
    <w:rsid w:val="006B257B"/>
    <w:rsid w:val="006B2825"/>
    <w:rsid w:val="006B373A"/>
    <w:rsid w:val="006D0897"/>
    <w:rsid w:val="006E31F1"/>
    <w:rsid w:val="006E6E02"/>
    <w:rsid w:val="006F052D"/>
    <w:rsid w:val="006F2B7C"/>
    <w:rsid w:val="006F7E56"/>
    <w:rsid w:val="0070086B"/>
    <w:rsid w:val="00705445"/>
    <w:rsid w:val="00706817"/>
    <w:rsid w:val="00707448"/>
    <w:rsid w:val="00712C40"/>
    <w:rsid w:val="00717BC8"/>
    <w:rsid w:val="00734889"/>
    <w:rsid w:val="0073689D"/>
    <w:rsid w:val="0074152A"/>
    <w:rsid w:val="0074309E"/>
    <w:rsid w:val="00777084"/>
    <w:rsid w:val="00783942"/>
    <w:rsid w:val="00792267"/>
    <w:rsid w:val="00796EE9"/>
    <w:rsid w:val="007A618C"/>
    <w:rsid w:val="007B00AE"/>
    <w:rsid w:val="007B0A22"/>
    <w:rsid w:val="007B5B02"/>
    <w:rsid w:val="007C235E"/>
    <w:rsid w:val="007C4995"/>
    <w:rsid w:val="007D23B1"/>
    <w:rsid w:val="007E5DB1"/>
    <w:rsid w:val="007F2197"/>
    <w:rsid w:val="007F38DD"/>
    <w:rsid w:val="007F4601"/>
    <w:rsid w:val="007F4D81"/>
    <w:rsid w:val="0080078E"/>
    <w:rsid w:val="00802CCE"/>
    <w:rsid w:val="00814473"/>
    <w:rsid w:val="00821A70"/>
    <w:rsid w:val="008220C9"/>
    <w:rsid w:val="00824A29"/>
    <w:rsid w:val="00826A89"/>
    <w:rsid w:val="008352DA"/>
    <w:rsid w:val="0083725E"/>
    <w:rsid w:val="00844725"/>
    <w:rsid w:val="008447F6"/>
    <w:rsid w:val="0085611A"/>
    <w:rsid w:val="0086610C"/>
    <w:rsid w:val="0087225D"/>
    <w:rsid w:val="0087395C"/>
    <w:rsid w:val="00887D82"/>
    <w:rsid w:val="00892E72"/>
    <w:rsid w:val="00893818"/>
    <w:rsid w:val="008A2F0F"/>
    <w:rsid w:val="008A336F"/>
    <w:rsid w:val="008A718A"/>
    <w:rsid w:val="008A762D"/>
    <w:rsid w:val="008B6B48"/>
    <w:rsid w:val="008B6BB9"/>
    <w:rsid w:val="008B75FA"/>
    <w:rsid w:val="008B7614"/>
    <w:rsid w:val="008C6ACE"/>
    <w:rsid w:val="008D479A"/>
    <w:rsid w:val="008E1FB8"/>
    <w:rsid w:val="008E48DD"/>
    <w:rsid w:val="008E6EDD"/>
    <w:rsid w:val="008F298E"/>
    <w:rsid w:val="00907576"/>
    <w:rsid w:val="00911F0C"/>
    <w:rsid w:val="009130B5"/>
    <w:rsid w:val="009178BF"/>
    <w:rsid w:val="00920877"/>
    <w:rsid w:val="0092480A"/>
    <w:rsid w:val="00926B7E"/>
    <w:rsid w:val="00927E0D"/>
    <w:rsid w:val="00932FAC"/>
    <w:rsid w:val="00933BCF"/>
    <w:rsid w:val="009368A3"/>
    <w:rsid w:val="00940AA5"/>
    <w:rsid w:val="00942E01"/>
    <w:rsid w:val="00954CA3"/>
    <w:rsid w:val="0096087C"/>
    <w:rsid w:val="00960A43"/>
    <w:rsid w:val="00962291"/>
    <w:rsid w:val="009742CA"/>
    <w:rsid w:val="00980609"/>
    <w:rsid w:val="00991F0B"/>
    <w:rsid w:val="00993685"/>
    <w:rsid w:val="00993883"/>
    <w:rsid w:val="009B1328"/>
    <w:rsid w:val="009B14E6"/>
    <w:rsid w:val="009B1637"/>
    <w:rsid w:val="009C0114"/>
    <w:rsid w:val="009C13E5"/>
    <w:rsid w:val="009C59FE"/>
    <w:rsid w:val="009D18AC"/>
    <w:rsid w:val="009D4B0F"/>
    <w:rsid w:val="009D6A21"/>
    <w:rsid w:val="009D7EB8"/>
    <w:rsid w:val="009E0488"/>
    <w:rsid w:val="009E4874"/>
    <w:rsid w:val="009E66C3"/>
    <w:rsid w:val="009F478D"/>
    <w:rsid w:val="00A02D36"/>
    <w:rsid w:val="00A44C25"/>
    <w:rsid w:val="00A55C80"/>
    <w:rsid w:val="00A571EC"/>
    <w:rsid w:val="00A6112D"/>
    <w:rsid w:val="00A642CD"/>
    <w:rsid w:val="00A65CDA"/>
    <w:rsid w:val="00A72646"/>
    <w:rsid w:val="00A747A8"/>
    <w:rsid w:val="00A76FF5"/>
    <w:rsid w:val="00A77043"/>
    <w:rsid w:val="00A77418"/>
    <w:rsid w:val="00A819B6"/>
    <w:rsid w:val="00A81F54"/>
    <w:rsid w:val="00A82BD4"/>
    <w:rsid w:val="00A871AF"/>
    <w:rsid w:val="00AA0D11"/>
    <w:rsid w:val="00AA4BE0"/>
    <w:rsid w:val="00AC5664"/>
    <w:rsid w:val="00AC7DDF"/>
    <w:rsid w:val="00AD0638"/>
    <w:rsid w:val="00AD3A48"/>
    <w:rsid w:val="00AE31D6"/>
    <w:rsid w:val="00AE67A4"/>
    <w:rsid w:val="00AE6970"/>
    <w:rsid w:val="00AF1391"/>
    <w:rsid w:val="00B00D31"/>
    <w:rsid w:val="00B059ED"/>
    <w:rsid w:val="00B10BFF"/>
    <w:rsid w:val="00B17102"/>
    <w:rsid w:val="00B1795A"/>
    <w:rsid w:val="00B30F75"/>
    <w:rsid w:val="00B433AA"/>
    <w:rsid w:val="00B52F81"/>
    <w:rsid w:val="00B7168C"/>
    <w:rsid w:val="00B84ABE"/>
    <w:rsid w:val="00B85B0C"/>
    <w:rsid w:val="00B8713F"/>
    <w:rsid w:val="00B90C90"/>
    <w:rsid w:val="00B90FA4"/>
    <w:rsid w:val="00B96671"/>
    <w:rsid w:val="00B9758C"/>
    <w:rsid w:val="00BA3F11"/>
    <w:rsid w:val="00BA41C8"/>
    <w:rsid w:val="00BB1744"/>
    <w:rsid w:val="00BB230B"/>
    <w:rsid w:val="00BC1487"/>
    <w:rsid w:val="00BD0A20"/>
    <w:rsid w:val="00BD0E6C"/>
    <w:rsid w:val="00BD7647"/>
    <w:rsid w:val="00BE19F5"/>
    <w:rsid w:val="00BE1AF0"/>
    <w:rsid w:val="00BE58B4"/>
    <w:rsid w:val="00BF0EB3"/>
    <w:rsid w:val="00BF66A8"/>
    <w:rsid w:val="00C07FC2"/>
    <w:rsid w:val="00C12444"/>
    <w:rsid w:val="00C15B0B"/>
    <w:rsid w:val="00C1770A"/>
    <w:rsid w:val="00C23BCE"/>
    <w:rsid w:val="00C2683E"/>
    <w:rsid w:val="00C26D8B"/>
    <w:rsid w:val="00C33360"/>
    <w:rsid w:val="00C35F6E"/>
    <w:rsid w:val="00C46825"/>
    <w:rsid w:val="00C46882"/>
    <w:rsid w:val="00C52AFF"/>
    <w:rsid w:val="00C55A85"/>
    <w:rsid w:val="00C61243"/>
    <w:rsid w:val="00C616D5"/>
    <w:rsid w:val="00C61858"/>
    <w:rsid w:val="00C6592A"/>
    <w:rsid w:val="00C82255"/>
    <w:rsid w:val="00CA41C9"/>
    <w:rsid w:val="00CA4C38"/>
    <w:rsid w:val="00CA6874"/>
    <w:rsid w:val="00CA7B7B"/>
    <w:rsid w:val="00CB14DE"/>
    <w:rsid w:val="00CB549A"/>
    <w:rsid w:val="00CB607A"/>
    <w:rsid w:val="00CC11C4"/>
    <w:rsid w:val="00CC2157"/>
    <w:rsid w:val="00CC75B0"/>
    <w:rsid w:val="00CD0965"/>
    <w:rsid w:val="00CD0EDE"/>
    <w:rsid w:val="00CE58CA"/>
    <w:rsid w:val="00D051D3"/>
    <w:rsid w:val="00D06D74"/>
    <w:rsid w:val="00D13B42"/>
    <w:rsid w:val="00D16E89"/>
    <w:rsid w:val="00D21E2C"/>
    <w:rsid w:val="00D26849"/>
    <w:rsid w:val="00D27E03"/>
    <w:rsid w:val="00D4386F"/>
    <w:rsid w:val="00D450F6"/>
    <w:rsid w:val="00D5109A"/>
    <w:rsid w:val="00D64777"/>
    <w:rsid w:val="00D72C26"/>
    <w:rsid w:val="00D7326A"/>
    <w:rsid w:val="00D753B3"/>
    <w:rsid w:val="00D754FE"/>
    <w:rsid w:val="00D81FB3"/>
    <w:rsid w:val="00D82188"/>
    <w:rsid w:val="00D87505"/>
    <w:rsid w:val="00D87A82"/>
    <w:rsid w:val="00DC737A"/>
    <w:rsid w:val="00DC7BCF"/>
    <w:rsid w:val="00DD10BF"/>
    <w:rsid w:val="00DD14D4"/>
    <w:rsid w:val="00DE2DBF"/>
    <w:rsid w:val="00DE620E"/>
    <w:rsid w:val="00E041E7"/>
    <w:rsid w:val="00E21F43"/>
    <w:rsid w:val="00E22033"/>
    <w:rsid w:val="00E2532D"/>
    <w:rsid w:val="00E313EC"/>
    <w:rsid w:val="00E345D6"/>
    <w:rsid w:val="00E34F45"/>
    <w:rsid w:val="00E42F96"/>
    <w:rsid w:val="00E43F41"/>
    <w:rsid w:val="00E44397"/>
    <w:rsid w:val="00E464B4"/>
    <w:rsid w:val="00E469A8"/>
    <w:rsid w:val="00E50525"/>
    <w:rsid w:val="00E53021"/>
    <w:rsid w:val="00E53C33"/>
    <w:rsid w:val="00E5510C"/>
    <w:rsid w:val="00E57F27"/>
    <w:rsid w:val="00E61578"/>
    <w:rsid w:val="00E647B8"/>
    <w:rsid w:val="00E72583"/>
    <w:rsid w:val="00E8499D"/>
    <w:rsid w:val="00E92A80"/>
    <w:rsid w:val="00EA27DD"/>
    <w:rsid w:val="00EA59FC"/>
    <w:rsid w:val="00EA71D4"/>
    <w:rsid w:val="00EA7624"/>
    <w:rsid w:val="00EA7D55"/>
    <w:rsid w:val="00EB28AC"/>
    <w:rsid w:val="00EC4975"/>
    <w:rsid w:val="00ED0154"/>
    <w:rsid w:val="00ED5559"/>
    <w:rsid w:val="00EF2CCF"/>
    <w:rsid w:val="00EF5444"/>
    <w:rsid w:val="00EF578D"/>
    <w:rsid w:val="00F15462"/>
    <w:rsid w:val="00F16DCB"/>
    <w:rsid w:val="00F2151B"/>
    <w:rsid w:val="00F279DC"/>
    <w:rsid w:val="00F427D5"/>
    <w:rsid w:val="00F5004D"/>
    <w:rsid w:val="00F53138"/>
    <w:rsid w:val="00F60483"/>
    <w:rsid w:val="00F63C87"/>
    <w:rsid w:val="00F63EE1"/>
    <w:rsid w:val="00F66399"/>
    <w:rsid w:val="00F760B0"/>
    <w:rsid w:val="00F82224"/>
    <w:rsid w:val="00F830E0"/>
    <w:rsid w:val="00F83233"/>
    <w:rsid w:val="00F86DFC"/>
    <w:rsid w:val="00F9097B"/>
    <w:rsid w:val="00F9157A"/>
    <w:rsid w:val="00F96826"/>
    <w:rsid w:val="00F975BA"/>
    <w:rsid w:val="00FA4358"/>
    <w:rsid w:val="00FA768A"/>
    <w:rsid w:val="00FB1DF4"/>
    <w:rsid w:val="00FB3708"/>
    <w:rsid w:val="00FC5F19"/>
    <w:rsid w:val="00FD1322"/>
    <w:rsid w:val="00FD1A8F"/>
    <w:rsid w:val="00FE11BB"/>
    <w:rsid w:val="00FE3E48"/>
    <w:rsid w:val="00FE7BCB"/>
    <w:rsid w:val="00FF58DA"/>
    <w:rsid w:val="00FF6ADB"/>
    <w:rsid w:val="00FF7564"/>
    <w:rsid w:val="00FF7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25"/>
  </w:style>
  <w:style w:type="paragraph" w:styleId="1">
    <w:name w:val="heading 1"/>
    <w:basedOn w:val="a"/>
    <w:next w:val="a"/>
    <w:link w:val="1Char"/>
    <w:uiPriority w:val="9"/>
    <w:qFormat/>
    <w:rsid w:val="00462F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D2684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5710F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057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5"/>
    <w:uiPriority w:val="99"/>
    <w:semiHidden/>
    <w:rsid w:val="000571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2648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页眉 Char"/>
    <w:basedOn w:val="a0"/>
    <w:link w:val="a6"/>
    <w:uiPriority w:val="99"/>
    <w:rsid w:val="002648AF"/>
  </w:style>
  <w:style w:type="paragraph" w:styleId="a7">
    <w:name w:val="footer"/>
    <w:basedOn w:val="a"/>
    <w:link w:val="Char1"/>
    <w:uiPriority w:val="99"/>
    <w:unhideWhenUsed/>
    <w:rsid w:val="002648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页脚 Char"/>
    <w:basedOn w:val="a0"/>
    <w:link w:val="a7"/>
    <w:uiPriority w:val="99"/>
    <w:rsid w:val="002648AF"/>
  </w:style>
  <w:style w:type="paragraph" w:styleId="a8">
    <w:name w:val="List Paragraph"/>
    <w:basedOn w:val="a"/>
    <w:uiPriority w:val="34"/>
    <w:qFormat/>
    <w:rsid w:val="00626FF3"/>
    <w:pPr>
      <w:widowControl w:val="0"/>
      <w:spacing w:after="0" w:line="300" w:lineRule="auto"/>
      <w:ind w:left="720"/>
      <w:contextualSpacing/>
      <w:jc w:val="both"/>
    </w:pPr>
    <w:rPr>
      <w:rFonts w:ascii="Calibri" w:eastAsia="宋体" w:hAnsi="Calibri" w:cs="Times New Roman"/>
      <w:kern w:val="2"/>
      <w:sz w:val="24"/>
      <w:lang w:val="en-US"/>
    </w:rPr>
  </w:style>
  <w:style w:type="character" w:styleId="a9">
    <w:name w:val="annotation reference"/>
    <w:basedOn w:val="a0"/>
    <w:uiPriority w:val="99"/>
    <w:semiHidden/>
    <w:unhideWhenUsed/>
    <w:rsid w:val="00F86DFC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F86DFC"/>
    <w:rPr>
      <w:lang w:val="en-US"/>
    </w:rPr>
  </w:style>
  <w:style w:type="character" w:customStyle="1" w:styleId="Char2">
    <w:name w:val="批注文字 Char"/>
    <w:basedOn w:val="a0"/>
    <w:link w:val="aa"/>
    <w:uiPriority w:val="99"/>
    <w:semiHidden/>
    <w:rsid w:val="00F86DFC"/>
    <w:rPr>
      <w:lang w:val="en-US"/>
    </w:rPr>
  </w:style>
  <w:style w:type="paragraph" w:styleId="ab">
    <w:name w:val="Title"/>
    <w:basedOn w:val="a"/>
    <w:next w:val="a"/>
    <w:link w:val="Char3"/>
    <w:uiPriority w:val="10"/>
    <w:qFormat/>
    <w:rsid w:val="00F86DF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  <w:lang w:val="en-US"/>
    </w:rPr>
  </w:style>
  <w:style w:type="character" w:customStyle="1" w:styleId="Char3">
    <w:name w:val="标题 Char"/>
    <w:basedOn w:val="a0"/>
    <w:link w:val="ab"/>
    <w:uiPriority w:val="10"/>
    <w:rsid w:val="00F86DFC"/>
    <w:rPr>
      <w:rFonts w:asciiTheme="majorHAnsi" w:eastAsia="宋体" w:hAnsiTheme="majorHAnsi" w:cstheme="majorBidi"/>
      <w:b/>
      <w:bCs/>
      <w:sz w:val="32"/>
      <w:szCs w:val="32"/>
      <w:lang w:val="en-US"/>
    </w:rPr>
  </w:style>
  <w:style w:type="character" w:customStyle="1" w:styleId="1Char">
    <w:name w:val="标题 1 Char"/>
    <w:basedOn w:val="a0"/>
    <w:link w:val="1"/>
    <w:uiPriority w:val="9"/>
    <w:rsid w:val="00462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462F6D"/>
    <w:pPr>
      <w:outlineLvl w:val="9"/>
    </w:pPr>
    <w:rPr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462F6D"/>
    <w:pPr>
      <w:spacing w:after="100"/>
    </w:pPr>
  </w:style>
  <w:style w:type="character" w:styleId="ac">
    <w:name w:val="Hyperlink"/>
    <w:basedOn w:val="a0"/>
    <w:uiPriority w:val="99"/>
    <w:unhideWhenUsed/>
    <w:rsid w:val="00462F6D"/>
    <w:rPr>
      <w:color w:val="0000FF" w:themeColor="hyperlink"/>
      <w:u w:val="single"/>
    </w:rPr>
  </w:style>
  <w:style w:type="paragraph" w:styleId="ad">
    <w:name w:val="annotation subject"/>
    <w:basedOn w:val="aa"/>
    <w:next w:val="aa"/>
    <w:link w:val="Char4"/>
    <w:uiPriority w:val="99"/>
    <w:semiHidden/>
    <w:unhideWhenUsed/>
    <w:rsid w:val="00712C40"/>
    <w:pPr>
      <w:spacing w:line="240" w:lineRule="auto"/>
    </w:pPr>
    <w:rPr>
      <w:b/>
      <w:bCs/>
      <w:sz w:val="20"/>
      <w:szCs w:val="20"/>
      <w:lang w:val="en-GB"/>
    </w:rPr>
  </w:style>
  <w:style w:type="character" w:customStyle="1" w:styleId="Char4">
    <w:name w:val="批注主题 Char"/>
    <w:basedOn w:val="Char2"/>
    <w:link w:val="ad"/>
    <w:uiPriority w:val="99"/>
    <w:semiHidden/>
    <w:rsid w:val="00712C40"/>
    <w:rPr>
      <w:b/>
      <w:bCs/>
      <w:sz w:val="20"/>
      <w:szCs w:val="20"/>
      <w:lang w:val="en-US"/>
    </w:rPr>
  </w:style>
  <w:style w:type="character" w:customStyle="1" w:styleId="2Char">
    <w:name w:val="标题 2 Char"/>
    <w:basedOn w:val="a0"/>
    <w:link w:val="2"/>
    <w:uiPriority w:val="9"/>
    <w:rsid w:val="00D2684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991F0B"/>
    <w:pPr>
      <w:ind w:leftChars="200" w:left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2F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684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710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1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48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8AF"/>
  </w:style>
  <w:style w:type="paragraph" w:styleId="Footer">
    <w:name w:val="footer"/>
    <w:basedOn w:val="Normal"/>
    <w:link w:val="FooterChar"/>
    <w:uiPriority w:val="99"/>
    <w:unhideWhenUsed/>
    <w:rsid w:val="002648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8AF"/>
  </w:style>
  <w:style w:type="paragraph" w:styleId="ListParagraph">
    <w:name w:val="List Paragraph"/>
    <w:basedOn w:val="Normal"/>
    <w:uiPriority w:val="34"/>
    <w:qFormat/>
    <w:rsid w:val="00626FF3"/>
    <w:pPr>
      <w:widowControl w:val="0"/>
      <w:spacing w:after="0" w:line="300" w:lineRule="auto"/>
      <w:ind w:left="720"/>
      <w:contextualSpacing/>
      <w:jc w:val="both"/>
    </w:pPr>
    <w:rPr>
      <w:rFonts w:ascii="Calibri" w:eastAsia="宋体" w:hAnsi="Calibri" w:cs="Times New Roman"/>
      <w:kern w:val="2"/>
      <w:sz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86DFC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DFC"/>
    <w:rPr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DFC"/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F86DF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86DFC"/>
    <w:rPr>
      <w:rFonts w:asciiTheme="majorHAnsi" w:eastAsia="宋体" w:hAnsiTheme="majorHAnsi" w:cstheme="majorBidi"/>
      <w:b/>
      <w:bCs/>
      <w:sz w:val="32"/>
      <w:szCs w:val="3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62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62F6D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62F6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62F6D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C40"/>
    <w:pPr>
      <w:spacing w:line="240" w:lineRule="auto"/>
    </w:pPr>
    <w:rPr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C40"/>
    <w:rPr>
      <w:b/>
      <w:bCs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2684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991F0B"/>
    <w:pPr>
      <w:ind w:leftChars="200" w:left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1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81539">
                  <w:marLeft w:val="0"/>
                  <w:marRight w:val="0"/>
                  <w:marTop w:val="0"/>
                  <w:marBottom w:val="0"/>
                  <w:divBdr>
                    <w:top w:val="single" w:sz="6" w:space="0" w:color="E8E8E8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C0FED-E6AD-48C7-9F2C-720B7727D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Oliven Li</dc:creator>
  <cp:lastModifiedBy>邢武雷</cp:lastModifiedBy>
  <cp:revision>17</cp:revision>
  <cp:lastPrinted>2015-09-11T08:56:00Z</cp:lastPrinted>
  <dcterms:created xsi:type="dcterms:W3CDTF">2015-06-09T03:24:00Z</dcterms:created>
  <dcterms:modified xsi:type="dcterms:W3CDTF">2015-09-28T08:22:00Z</dcterms:modified>
</cp:coreProperties>
</file>