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33" w:rsidRDefault="00E22033" w:rsidP="00013CF6">
      <w:pPr>
        <w:jc w:val="center"/>
      </w:pPr>
      <w:bookmarkStart w:id="0" w:name="_Toc404536285"/>
    </w:p>
    <w:p w:rsidR="00E22033" w:rsidRDefault="00E22033" w:rsidP="00013CF6">
      <w:pPr>
        <w:jc w:val="center"/>
      </w:pPr>
    </w:p>
    <w:p w:rsidR="00E22033" w:rsidRDefault="00E22033" w:rsidP="00013CF6">
      <w:pPr>
        <w:jc w:val="center"/>
      </w:pPr>
    </w:p>
    <w:p w:rsidR="00E22033" w:rsidRDefault="00E22033" w:rsidP="00013CF6">
      <w:pPr>
        <w:jc w:val="center"/>
      </w:pPr>
    </w:p>
    <w:p w:rsidR="00E22033" w:rsidRDefault="00E22033" w:rsidP="00013CF6">
      <w:pPr>
        <w:jc w:val="center"/>
      </w:pPr>
    </w:p>
    <w:p w:rsidR="00E22033" w:rsidRDefault="00E22033" w:rsidP="00013CF6">
      <w:pPr>
        <w:jc w:val="center"/>
      </w:pPr>
    </w:p>
    <w:p w:rsidR="00E22033" w:rsidRDefault="00E22033" w:rsidP="00013CF6">
      <w:pPr>
        <w:jc w:val="center"/>
      </w:pPr>
    </w:p>
    <w:p w:rsidR="00E22033" w:rsidRDefault="00E22033" w:rsidP="00013CF6">
      <w:pPr>
        <w:jc w:val="center"/>
      </w:pPr>
    </w:p>
    <w:p w:rsidR="00E22033" w:rsidRDefault="00E22033" w:rsidP="00013CF6">
      <w:pPr>
        <w:jc w:val="center"/>
      </w:pPr>
    </w:p>
    <w:p w:rsidR="00013CF6" w:rsidRPr="00022723" w:rsidRDefault="00F55752" w:rsidP="00013CF6">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xml:space="preserve"> </w:t>
      </w:r>
      <w:r w:rsidR="005745F7">
        <w:rPr>
          <w:rFonts w:asciiTheme="majorEastAsia" w:eastAsiaTheme="majorEastAsia" w:hAnsiTheme="majorEastAsia" w:hint="eastAsia"/>
          <w:b/>
          <w:sz w:val="40"/>
          <w:szCs w:val="40"/>
        </w:rPr>
        <w:t xml:space="preserve"> </w:t>
      </w:r>
      <w:r w:rsidR="00013CF6" w:rsidRPr="00022723">
        <w:rPr>
          <w:rFonts w:asciiTheme="majorEastAsia" w:eastAsiaTheme="majorEastAsia" w:hAnsiTheme="majorEastAsia" w:hint="eastAsia"/>
          <w:b/>
          <w:sz w:val="40"/>
          <w:szCs w:val="40"/>
        </w:rPr>
        <w:t>保险资金运用内部控制应用指引第</w:t>
      </w:r>
      <w:r w:rsidR="00FE1CA2" w:rsidRPr="00022723">
        <w:rPr>
          <w:rFonts w:asciiTheme="majorEastAsia" w:eastAsiaTheme="majorEastAsia" w:hAnsiTheme="majorEastAsia" w:hint="eastAsia"/>
          <w:b/>
          <w:sz w:val="40"/>
          <w:szCs w:val="40"/>
        </w:rPr>
        <w:t>3</w:t>
      </w:r>
      <w:r w:rsidR="00013CF6" w:rsidRPr="00022723">
        <w:rPr>
          <w:rFonts w:asciiTheme="majorEastAsia" w:eastAsiaTheme="majorEastAsia" w:hAnsiTheme="majorEastAsia" w:hint="eastAsia"/>
          <w:b/>
          <w:sz w:val="40"/>
          <w:szCs w:val="40"/>
        </w:rPr>
        <w:t>号——</w:t>
      </w:r>
      <w:r w:rsidR="00C53914" w:rsidRPr="00022723">
        <w:rPr>
          <w:rFonts w:asciiTheme="majorEastAsia" w:eastAsiaTheme="majorEastAsia" w:hAnsiTheme="majorEastAsia" w:hint="eastAsia"/>
          <w:b/>
          <w:sz w:val="40"/>
          <w:szCs w:val="40"/>
        </w:rPr>
        <w:t>股票及股票型基金</w:t>
      </w:r>
      <w:r w:rsidR="00A10E73">
        <w:rPr>
          <w:rFonts w:asciiTheme="majorEastAsia" w:eastAsiaTheme="majorEastAsia" w:hAnsiTheme="majorEastAsia" w:hint="eastAsia"/>
          <w:b/>
          <w:sz w:val="40"/>
          <w:szCs w:val="40"/>
        </w:rPr>
        <w:t xml:space="preserve">                       (征求意见稿)</w:t>
      </w:r>
    </w:p>
    <w:p w:rsidR="00592D2B" w:rsidRDefault="00592D2B" w:rsidP="00013CF6">
      <w:pPr>
        <w:jc w:val="center"/>
      </w:pPr>
    </w:p>
    <w:p w:rsidR="00592D2B" w:rsidRDefault="00592D2B" w:rsidP="00013CF6">
      <w:pPr>
        <w:jc w:val="center"/>
      </w:pPr>
    </w:p>
    <w:p w:rsidR="00592D2B" w:rsidRDefault="00592D2B" w:rsidP="00013CF6">
      <w:pPr>
        <w:jc w:val="center"/>
      </w:pPr>
    </w:p>
    <w:p w:rsidR="00592D2B" w:rsidRPr="00414297" w:rsidRDefault="00592D2B" w:rsidP="00013CF6">
      <w:pPr>
        <w:jc w:val="center"/>
      </w:pPr>
    </w:p>
    <w:p w:rsidR="00EA71D4" w:rsidRPr="00022723" w:rsidRDefault="00EA71D4" w:rsidP="00013CF6">
      <w:pPr>
        <w:jc w:val="center"/>
        <w:rPr>
          <w:rFonts w:asciiTheme="majorEastAsia" w:eastAsiaTheme="majorEastAsia" w:hAnsiTheme="majorEastAsia"/>
          <w:b/>
          <w:sz w:val="40"/>
          <w:szCs w:val="40"/>
        </w:rPr>
      </w:pPr>
      <w:r w:rsidRPr="00022723">
        <w:rPr>
          <w:rFonts w:asciiTheme="majorEastAsia" w:eastAsiaTheme="majorEastAsia" w:hAnsiTheme="majorEastAsia"/>
          <w:b/>
          <w:sz w:val="40"/>
          <w:szCs w:val="40"/>
        </w:rPr>
        <w:t>201</w:t>
      </w:r>
      <w:r w:rsidR="00FE1CA2" w:rsidRPr="00022723">
        <w:rPr>
          <w:rFonts w:asciiTheme="majorEastAsia" w:eastAsiaTheme="majorEastAsia" w:hAnsiTheme="majorEastAsia" w:hint="eastAsia"/>
          <w:b/>
          <w:sz w:val="40"/>
          <w:szCs w:val="40"/>
        </w:rPr>
        <w:t>5</w:t>
      </w:r>
      <w:r w:rsidRPr="00022723">
        <w:rPr>
          <w:rFonts w:asciiTheme="majorEastAsia" w:eastAsiaTheme="majorEastAsia" w:hAnsiTheme="majorEastAsia"/>
          <w:b/>
          <w:sz w:val="40"/>
          <w:szCs w:val="40"/>
        </w:rPr>
        <w:t>年</w:t>
      </w:r>
      <w:r w:rsidR="009437DF">
        <w:rPr>
          <w:rFonts w:asciiTheme="majorEastAsia" w:eastAsiaTheme="majorEastAsia" w:hAnsiTheme="majorEastAsia" w:hint="eastAsia"/>
          <w:b/>
          <w:sz w:val="40"/>
          <w:szCs w:val="40"/>
        </w:rPr>
        <w:t>9</w:t>
      </w:r>
      <w:r w:rsidRPr="00022723">
        <w:rPr>
          <w:rFonts w:asciiTheme="majorEastAsia" w:eastAsiaTheme="majorEastAsia" w:hAnsiTheme="majorEastAsia"/>
          <w:b/>
          <w:sz w:val="40"/>
          <w:szCs w:val="40"/>
        </w:rPr>
        <w:t>月</w:t>
      </w:r>
    </w:p>
    <w:p w:rsidR="00EA71D4" w:rsidRDefault="00EA71D4">
      <w:pPr>
        <w:rPr>
          <w:rFonts w:ascii="宋体" w:eastAsia="宋体" w:hAnsi="宋体"/>
          <w:color w:val="000000" w:themeColor="text1"/>
          <w:sz w:val="36"/>
          <w:szCs w:val="21"/>
        </w:rPr>
      </w:pPr>
      <w:r>
        <w:rPr>
          <w:rFonts w:ascii="宋体" w:eastAsia="宋体" w:hAnsi="宋体"/>
          <w:color w:val="000000" w:themeColor="text1"/>
          <w:sz w:val="36"/>
          <w:szCs w:val="21"/>
        </w:rPr>
        <w:br w:type="page"/>
      </w:r>
    </w:p>
    <w:p w:rsidR="00524F7D" w:rsidRDefault="00AD0D30" w:rsidP="00A10E73">
      <w:pPr>
        <w:pStyle w:val="1"/>
        <w:spacing w:before="0" w:afterLines="50" w:line="360" w:lineRule="auto"/>
        <w:jc w:val="center"/>
        <w:rPr>
          <w:rFonts w:ascii="宋体" w:eastAsia="宋体" w:hAnsi="宋体"/>
          <w:color w:val="000000" w:themeColor="text1"/>
          <w:szCs w:val="21"/>
        </w:rPr>
      </w:pPr>
      <w:bookmarkStart w:id="1" w:name="_Toc408578700"/>
      <w:bookmarkEnd w:id="0"/>
      <w:r>
        <w:rPr>
          <w:rFonts w:ascii="宋体" w:eastAsia="宋体" w:hAnsi="宋体" w:hint="eastAsia"/>
          <w:color w:val="000000" w:themeColor="text1"/>
          <w:szCs w:val="21"/>
        </w:rPr>
        <w:lastRenderedPageBreak/>
        <w:t>第一节</w:t>
      </w:r>
      <w:r w:rsidR="0061164B">
        <w:rPr>
          <w:rFonts w:ascii="宋体" w:eastAsia="宋体" w:hAnsi="宋体" w:hint="eastAsia"/>
          <w:color w:val="000000" w:themeColor="text1"/>
          <w:szCs w:val="21"/>
        </w:rPr>
        <w:t xml:space="preserve"> </w:t>
      </w:r>
      <w:r w:rsidR="00220907">
        <w:rPr>
          <w:rFonts w:ascii="宋体" w:eastAsia="宋体" w:hAnsi="宋体" w:hint="eastAsia"/>
          <w:color w:val="000000" w:themeColor="text1"/>
          <w:szCs w:val="21"/>
        </w:rPr>
        <w:t>总则</w:t>
      </w:r>
      <w:bookmarkEnd w:id="1"/>
    </w:p>
    <w:p w:rsidR="00220907" w:rsidRPr="00220907" w:rsidRDefault="00220907" w:rsidP="00220907"/>
    <w:p w:rsidR="00DE620E" w:rsidRPr="00307F17" w:rsidRDefault="00524F7D" w:rsidP="00307F17">
      <w:pPr>
        <w:spacing w:after="240" w:line="360" w:lineRule="auto"/>
        <w:rPr>
          <w:rFonts w:ascii="宋体" w:eastAsia="宋体" w:hAnsi="宋体"/>
          <w:color w:val="000000" w:themeColor="text1"/>
          <w:sz w:val="24"/>
          <w:szCs w:val="21"/>
        </w:rPr>
      </w:pPr>
      <w:r w:rsidRPr="00436DC8">
        <w:rPr>
          <w:rFonts w:ascii="宋体" w:eastAsia="宋体" w:hAnsi="宋体" w:hint="eastAsia"/>
          <w:b/>
          <w:color w:val="000000" w:themeColor="text1"/>
          <w:sz w:val="24"/>
          <w:szCs w:val="21"/>
        </w:rPr>
        <w:t>第一条</w:t>
      </w:r>
      <w:r w:rsidRPr="00307F17">
        <w:rPr>
          <w:rFonts w:ascii="宋体" w:eastAsia="宋体" w:hAnsi="宋体" w:hint="eastAsia"/>
          <w:color w:val="000000" w:themeColor="text1"/>
          <w:sz w:val="24"/>
          <w:szCs w:val="21"/>
        </w:rPr>
        <w:t xml:space="preserve"> 为了促进保险资金运用</w:t>
      </w:r>
      <w:r w:rsidR="000D10B3" w:rsidRPr="00307F17">
        <w:rPr>
          <w:rFonts w:ascii="宋体" w:eastAsia="宋体" w:hAnsi="宋体" w:hint="eastAsia"/>
          <w:color w:val="000000" w:themeColor="text1"/>
          <w:sz w:val="24"/>
          <w:szCs w:val="21"/>
        </w:rPr>
        <w:t>的规范发展，有效防范和化解</w:t>
      </w:r>
      <w:r w:rsidRPr="00307F17">
        <w:rPr>
          <w:rFonts w:ascii="宋体" w:eastAsia="宋体" w:hAnsi="宋体" w:hint="eastAsia"/>
          <w:color w:val="000000" w:themeColor="text1"/>
          <w:sz w:val="24"/>
          <w:szCs w:val="21"/>
        </w:rPr>
        <w:t>风险，维护保险资金运用市场的安全与稳定，依据</w:t>
      </w:r>
      <w:r w:rsidR="00013CF6">
        <w:rPr>
          <w:rFonts w:ascii="宋体" w:eastAsia="宋体" w:hAnsi="宋体" w:hint="eastAsia"/>
          <w:color w:val="000000" w:themeColor="text1"/>
          <w:sz w:val="24"/>
          <w:szCs w:val="21"/>
        </w:rPr>
        <w:t>国家有关</w:t>
      </w:r>
      <w:r w:rsidRPr="00307F17">
        <w:rPr>
          <w:rFonts w:ascii="宋体" w:eastAsia="宋体" w:hAnsi="宋体" w:hint="eastAsia"/>
          <w:color w:val="000000" w:themeColor="text1"/>
          <w:sz w:val="24"/>
          <w:szCs w:val="21"/>
        </w:rPr>
        <w:t>法律法规</w:t>
      </w:r>
      <w:r w:rsidR="00013CF6">
        <w:rPr>
          <w:rFonts w:ascii="宋体" w:eastAsia="宋体" w:hAnsi="宋体" w:hint="eastAsia"/>
          <w:color w:val="000000" w:themeColor="text1"/>
          <w:sz w:val="24"/>
          <w:szCs w:val="21"/>
        </w:rPr>
        <w:t>和《保险资金运用内部控制指引》</w:t>
      </w:r>
      <w:r w:rsidRPr="00307F17">
        <w:rPr>
          <w:rFonts w:ascii="宋体" w:eastAsia="宋体" w:hAnsi="宋体" w:hint="eastAsia"/>
          <w:color w:val="000000" w:themeColor="text1"/>
          <w:sz w:val="24"/>
          <w:szCs w:val="21"/>
        </w:rPr>
        <w:t>，特制定本指引。</w:t>
      </w:r>
    </w:p>
    <w:p w:rsidR="0065385A" w:rsidRPr="0065385A" w:rsidRDefault="00524F7D" w:rsidP="0065385A">
      <w:pPr>
        <w:spacing w:before="100" w:beforeAutospacing="1" w:after="100" w:afterAutospacing="1" w:line="360" w:lineRule="atLeast"/>
        <w:rPr>
          <w:rFonts w:ascii="宋体" w:eastAsia="宋体" w:hAnsi="宋体"/>
          <w:color w:val="000000" w:themeColor="text1"/>
          <w:sz w:val="24"/>
          <w:szCs w:val="21"/>
        </w:rPr>
      </w:pPr>
      <w:r w:rsidRPr="00436DC8">
        <w:rPr>
          <w:rFonts w:ascii="宋体" w:eastAsia="宋体" w:hAnsi="宋体" w:hint="eastAsia"/>
          <w:b/>
          <w:color w:val="000000" w:themeColor="text1"/>
          <w:sz w:val="24"/>
          <w:szCs w:val="21"/>
        </w:rPr>
        <w:t>第二条</w:t>
      </w:r>
      <w:r w:rsidR="0061164B">
        <w:rPr>
          <w:rFonts w:ascii="宋体" w:eastAsia="宋体" w:hAnsi="宋体" w:hint="eastAsia"/>
          <w:b/>
          <w:color w:val="000000" w:themeColor="text1"/>
          <w:sz w:val="24"/>
          <w:szCs w:val="21"/>
        </w:rPr>
        <w:t xml:space="preserve"> </w:t>
      </w:r>
      <w:r w:rsidR="00013CF6">
        <w:rPr>
          <w:rFonts w:ascii="宋体" w:eastAsia="宋体" w:hAnsi="宋体" w:hint="eastAsia"/>
          <w:color w:val="000000" w:themeColor="text1"/>
          <w:sz w:val="24"/>
          <w:szCs w:val="21"/>
        </w:rPr>
        <w:t>本指引所指</w:t>
      </w:r>
      <w:r w:rsidR="00E7604C">
        <w:rPr>
          <w:rFonts w:ascii="宋体" w:eastAsia="宋体" w:hAnsi="宋体" w:hint="eastAsia"/>
          <w:color w:val="000000" w:themeColor="text1"/>
          <w:sz w:val="24"/>
          <w:szCs w:val="21"/>
        </w:rPr>
        <w:t>股票</w:t>
      </w:r>
      <w:r w:rsidR="00013CF6" w:rsidRPr="004860A1">
        <w:rPr>
          <w:rFonts w:ascii="宋体" w:eastAsia="宋体" w:hAnsi="宋体" w:hint="eastAsia"/>
          <w:color w:val="000000" w:themeColor="text1"/>
          <w:sz w:val="24"/>
          <w:szCs w:val="21"/>
        </w:rPr>
        <w:t>，是指保险</w:t>
      </w:r>
      <w:r w:rsidR="0059136E">
        <w:rPr>
          <w:rFonts w:ascii="宋体" w:eastAsia="宋体" w:hAnsi="宋体" w:hint="eastAsia"/>
          <w:color w:val="000000" w:themeColor="text1"/>
          <w:sz w:val="24"/>
          <w:szCs w:val="21"/>
        </w:rPr>
        <w:t>机构</w:t>
      </w:r>
      <w:r w:rsidR="009B14E6" w:rsidRPr="004860A1">
        <w:rPr>
          <w:rFonts w:ascii="宋体" w:eastAsia="宋体" w:hAnsi="宋体" w:hint="eastAsia"/>
          <w:color w:val="000000" w:themeColor="text1"/>
          <w:sz w:val="24"/>
          <w:szCs w:val="21"/>
        </w:rPr>
        <w:t>投资</w:t>
      </w:r>
      <w:r w:rsidR="0065385A" w:rsidRPr="0065385A">
        <w:rPr>
          <w:rFonts w:ascii="宋体" w:eastAsia="宋体" w:hAnsi="宋体" w:hint="eastAsia"/>
          <w:color w:val="000000" w:themeColor="text1"/>
          <w:sz w:val="24"/>
          <w:szCs w:val="21"/>
        </w:rPr>
        <w:t>公开发行并上市交易的股票和上市公司向特定对象非公开发行的股票</w:t>
      </w:r>
      <w:r w:rsidR="0065385A" w:rsidRPr="0065385A">
        <w:rPr>
          <w:rFonts w:ascii="宋体" w:eastAsia="宋体" w:hAnsi="宋体"/>
          <w:color w:val="000000" w:themeColor="text1"/>
          <w:sz w:val="24"/>
          <w:szCs w:val="21"/>
        </w:rPr>
        <w:t>。</w:t>
      </w:r>
    </w:p>
    <w:p w:rsidR="00F936F4" w:rsidRPr="00F936F4" w:rsidRDefault="0065385A" w:rsidP="00307F17">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t>股票型基金是指</w:t>
      </w:r>
      <w:r w:rsidR="007922ED" w:rsidRPr="007922ED">
        <w:rPr>
          <w:rFonts w:ascii="宋体" w:eastAsia="宋体" w:hAnsi="宋体"/>
          <w:color w:val="000000" w:themeColor="text1"/>
          <w:sz w:val="24"/>
          <w:szCs w:val="21"/>
        </w:rPr>
        <w:t>是指</w:t>
      </w:r>
      <w:r w:rsidR="00F936F4">
        <w:rPr>
          <w:rFonts w:ascii="宋体" w:eastAsia="宋体" w:hAnsi="宋体" w:hint="eastAsia"/>
          <w:color w:val="000000" w:themeColor="text1"/>
          <w:sz w:val="24"/>
          <w:szCs w:val="21"/>
        </w:rPr>
        <w:t>80%</w:t>
      </w:r>
      <w:r w:rsidR="007922ED" w:rsidRPr="007922ED">
        <w:rPr>
          <w:rFonts w:ascii="宋体" w:eastAsia="宋体" w:hAnsi="宋体"/>
          <w:color w:val="000000" w:themeColor="text1"/>
          <w:sz w:val="24"/>
          <w:szCs w:val="21"/>
        </w:rPr>
        <w:t>以上的基金资产投资于股票的基金。</w:t>
      </w:r>
    </w:p>
    <w:p w:rsidR="00524F7D" w:rsidRPr="00307F17" w:rsidRDefault="00524F7D" w:rsidP="00307F17">
      <w:pPr>
        <w:spacing w:after="240" w:line="360" w:lineRule="auto"/>
        <w:rPr>
          <w:rFonts w:ascii="宋体" w:eastAsia="宋体" w:hAnsi="宋体"/>
          <w:color w:val="000000" w:themeColor="text1"/>
          <w:sz w:val="24"/>
          <w:szCs w:val="21"/>
        </w:rPr>
      </w:pPr>
      <w:r w:rsidRPr="00436DC8">
        <w:rPr>
          <w:rFonts w:ascii="宋体" w:eastAsia="宋体" w:hAnsi="宋体" w:hint="eastAsia"/>
          <w:b/>
          <w:color w:val="000000" w:themeColor="text1"/>
          <w:sz w:val="24"/>
          <w:szCs w:val="21"/>
        </w:rPr>
        <w:t>第三条</w:t>
      </w:r>
      <w:r w:rsidR="0061164B">
        <w:rPr>
          <w:rFonts w:ascii="宋体" w:eastAsia="宋体" w:hAnsi="宋体" w:hint="eastAsia"/>
          <w:b/>
          <w:color w:val="000000" w:themeColor="text1"/>
          <w:sz w:val="24"/>
          <w:szCs w:val="21"/>
        </w:rPr>
        <w:t xml:space="preserve"> </w:t>
      </w:r>
      <w:r w:rsidR="008A718A">
        <w:rPr>
          <w:rFonts w:ascii="宋体" w:eastAsia="宋体" w:hAnsi="宋体" w:hint="eastAsia"/>
          <w:color w:val="000000" w:themeColor="text1"/>
          <w:sz w:val="24"/>
          <w:szCs w:val="21"/>
        </w:rPr>
        <w:t>保险公司及保险资产管理公司应至少关注涉及</w:t>
      </w:r>
      <w:r w:rsidR="00D054C0">
        <w:rPr>
          <w:rFonts w:ascii="宋体" w:eastAsia="宋体" w:hAnsi="宋体" w:hint="eastAsia"/>
          <w:color w:val="000000" w:themeColor="text1"/>
          <w:sz w:val="24"/>
          <w:szCs w:val="21"/>
        </w:rPr>
        <w:t>股票及股票型基金</w:t>
      </w:r>
      <w:r w:rsidR="00582302">
        <w:rPr>
          <w:rFonts w:ascii="宋体" w:eastAsia="宋体" w:hAnsi="宋体" w:hint="eastAsia"/>
          <w:color w:val="000000" w:themeColor="text1"/>
          <w:sz w:val="24"/>
          <w:szCs w:val="21"/>
        </w:rPr>
        <w:t>投资</w:t>
      </w:r>
      <w:r w:rsidR="008A718A">
        <w:rPr>
          <w:rFonts w:ascii="宋体" w:eastAsia="宋体" w:hAnsi="宋体" w:hint="eastAsia"/>
          <w:color w:val="000000" w:themeColor="text1"/>
          <w:sz w:val="24"/>
          <w:szCs w:val="21"/>
        </w:rPr>
        <w:t>的下列风险：</w:t>
      </w:r>
    </w:p>
    <w:p w:rsidR="00DE620E" w:rsidRPr="000E5260" w:rsidRDefault="00DE620E" w:rsidP="004C3D21">
      <w:pPr>
        <w:spacing w:line="360" w:lineRule="auto"/>
        <w:ind w:firstLineChars="200" w:firstLine="480"/>
        <w:rPr>
          <w:rFonts w:ascii="Arial" w:eastAsia="宋体" w:hAnsi="宋体" w:cs="Arial"/>
          <w:sz w:val="24"/>
          <w:szCs w:val="24"/>
        </w:rPr>
      </w:pPr>
      <w:r w:rsidRPr="004C3D21">
        <w:rPr>
          <w:rFonts w:ascii="Arial" w:eastAsia="宋体" w:hAnsi="宋体" w:cs="Arial" w:hint="eastAsia"/>
          <w:sz w:val="24"/>
          <w:szCs w:val="24"/>
        </w:rPr>
        <w:t>（一）</w:t>
      </w:r>
      <w:r w:rsidR="000376F2">
        <w:rPr>
          <w:rFonts w:ascii="Arial" w:eastAsia="宋体" w:hAnsi="宋体" w:cs="Arial" w:hint="eastAsia"/>
          <w:sz w:val="24"/>
          <w:szCs w:val="24"/>
        </w:rPr>
        <w:t>投资范围和投资产品的合规风险。</w:t>
      </w:r>
    </w:p>
    <w:p w:rsidR="004C3D21" w:rsidRPr="000E5260" w:rsidRDefault="00DE620E" w:rsidP="004C3D21">
      <w:pPr>
        <w:spacing w:line="360" w:lineRule="auto"/>
        <w:ind w:firstLineChars="200" w:firstLine="480"/>
        <w:rPr>
          <w:rFonts w:ascii="Arial" w:eastAsia="宋体" w:hAnsi="宋体" w:cs="Arial"/>
          <w:sz w:val="24"/>
          <w:szCs w:val="24"/>
        </w:rPr>
      </w:pPr>
      <w:r w:rsidRPr="000E5260">
        <w:rPr>
          <w:rFonts w:ascii="Arial" w:eastAsia="宋体" w:hAnsi="宋体" w:cs="Arial" w:hint="eastAsia"/>
          <w:sz w:val="24"/>
          <w:szCs w:val="24"/>
        </w:rPr>
        <w:t>（二）</w:t>
      </w:r>
      <w:r w:rsidR="00671E9F">
        <w:rPr>
          <w:rFonts w:ascii="宋体" w:eastAsia="宋体" w:hAnsi="宋体" w:hint="eastAsia"/>
          <w:color w:val="000000" w:themeColor="text1"/>
          <w:sz w:val="24"/>
          <w:szCs w:val="21"/>
        </w:rPr>
        <w:t>股票及股票型基金</w:t>
      </w:r>
      <w:r w:rsidR="000376F2">
        <w:rPr>
          <w:rFonts w:ascii="宋体" w:eastAsia="宋体" w:hAnsi="宋体" w:hint="eastAsia"/>
          <w:color w:val="000000" w:themeColor="text1"/>
          <w:sz w:val="24"/>
          <w:szCs w:val="21"/>
        </w:rPr>
        <w:t>的市场风险</w:t>
      </w:r>
      <w:r w:rsidR="00B96671" w:rsidRPr="000E5260">
        <w:rPr>
          <w:rFonts w:ascii="Arial" w:eastAsia="宋体" w:hAnsi="宋体" w:cs="Arial" w:hint="eastAsia"/>
          <w:sz w:val="24"/>
          <w:szCs w:val="24"/>
        </w:rPr>
        <w:t>。</w:t>
      </w:r>
    </w:p>
    <w:p w:rsidR="004C3D21" w:rsidRPr="000E5260" w:rsidRDefault="004C3D21" w:rsidP="004C3D21">
      <w:pPr>
        <w:spacing w:line="360" w:lineRule="auto"/>
        <w:ind w:firstLineChars="200" w:firstLine="480"/>
        <w:rPr>
          <w:rFonts w:ascii="Arial" w:eastAsia="宋体" w:hAnsi="Arial" w:cs="Arial"/>
          <w:sz w:val="24"/>
          <w:szCs w:val="24"/>
        </w:rPr>
      </w:pPr>
      <w:r w:rsidRPr="000E5260">
        <w:rPr>
          <w:rFonts w:ascii="Arial" w:eastAsia="宋体" w:hAnsi="宋体" w:cs="Arial"/>
          <w:sz w:val="24"/>
          <w:szCs w:val="24"/>
        </w:rPr>
        <w:t>（三）</w:t>
      </w:r>
      <w:r w:rsidR="000376F2">
        <w:rPr>
          <w:rFonts w:ascii="宋体" w:eastAsia="宋体" w:hAnsi="宋体" w:hint="eastAsia"/>
          <w:color w:val="000000" w:themeColor="text1"/>
          <w:sz w:val="24"/>
          <w:szCs w:val="21"/>
        </w:rPr>
        <w:t>投资决策风险</w:t>
      </w:r>
      <w:r w:rsidRPr="000E5260">
        <w:rPr>
          <w:rFonts w:ascii="Arial" w:eastAsia="宋体" w:hAnsi="宋体" w:cs="Arial"/>
          <w:sz w:val="24"/>
          <w:szCs w:val="24"/>
        </w:rPr>
        <w:t>。</w:t>
      </w:r>
    </w:p>
    <w:p w:rsidR="004C3D21" w:rsidRPr="000E5260" w:rsidRDefault="004C3D21" w:rsidP="004C3D21">
      <w:pPr>
        <w:spacing w:line="360" w:lineRule="auto"/>
        <w:ind w:firstLineChars="200" w:firstLine="480"/>
        <w:rPr>
          <w:rFonts w:ascii="Arial" w:eastAsia="宋体" w:hAnsi="Arial" w:cs="Arial"/>
          <w:sz w:val="24"/>
          <w:szCs w:val="24"/>
        </w:rPr>
      </w:pPr>
      <w:r w:rsidRPr="000E5260">
        <w:rPr>
          <w:rFonts w:ascii="Arial" w:eastAsia="宋体" w:hAnsi="宋体" w:cs="Arial"/>
          <w:sz w:val="24"/>
          <w:szCs w:val="24"/>
        </w:rPr>
        <w:t>（四）</w:t>
      </w:r>
      <w:r w:rsidR="000376F2">
        <w:rPr>
          <w:rFonts w:ascii="宋体" w:eastAsia="宋体" w:hAnsi="宋体" w:hint="eastAsia"/>
          <w:color w:val="000000" w:themeColor="text1"/>
          <w:sz w:val="24"/>
          <w:szCs w:val="21"/>
        </w:rPr>
        <w:t>交易执行及投后管理风险</w:t>
      </w:r>
      <w:r w:rsidRPr="000E5260">
        <w:rPr>
          <w:rFonts w:ascii="Arial" w:eastAsia="宋体" w:hAnsi="宋体" w:cs="Arial"/>
          <w:sz w:val="24"/>
          <w:szCs w:val="24"/>
        </w:rPr>
        <w:t>。</w:t>
      </w:r>
    </w:p>
    <w:p w:rsidR="000376F2" w:rsidRPr="0092480A" w:rsidRDefault="004C3D21" w:rsidP="000376F2">
      <w:pPr>
        <w:spacing w:line="360" w:lineRule="auto"/>
        <w:ind w:firstLineChars="200" w:firstLine="480"/>
        <w:rPr>
          <w:rFonts w:ascii="Arial" w:eastAsia="宋体" w:hAnsi="宋体" w:cs="Arial"/>
          <w:sz w:val="24"/>
          <w:szCs w:val="24"/>
        </w:rPr>
      </w:pPr>
      <w:r w:rsidRPr="000E5260">
        <w:rPr>
          <w:rFonts w:ascii="Arial" w:eastAsia="宋体" w:hAnsi="宋体" w:cs="Arial"/>
          <w:sz w:val="24"/>
          <w:szCs w:val="24"/>
        </w:rPr>
        <w:t>（五）</w:t>
      </w:r>
      <w:r w:rsidR="000376F2" w:rsidRPr="00307F17">
        <w:rPr>
          <w:rFonts w:ascii="宋体" w:eastAsia="宋体" w:hAnsi="宋体" w:hint="eastAsia"/>
          <w:color w:val="000000" w:themeColor="text1"/>
          <w:sz w:val="24"/>
          <w:szCs w:val="21"/>
        </w:rPr>
        <w:t>财务报告</w:t>
      </w:r>
      <w:r w:rsidR="000376F2">
        <w:rPr>
          <w:rFonts w:ascii="宋体" w:eastAsia="宋体" w:hAnsi="宋体" w:hint="eastAsia"/>
          <w:color w:val="000000" w:themeColor="text1"/>
          <w:sz w:val="24"/>
          <w:szCs w:val="21"/>
        </w:rPr>
        <w:t>及信息披露风险</w:t>
      </w:r>
      <w:r w:rsidR="000376F2" w:rsidRPr="00307F17">
        <w:rPr>
          <w:rFonts w:ascii="宋体" w:eastAsia="宋体" w:hAnsi="宋体" w:hint="eastAsia"/>
          <w:color w:val="000000" w:themeColor="text1"/>
          <w:sz w:val="24"/>
          <w:szCs w:val="21"/>
        </w:rPr>
        <w:t>。</w:t>
      </w:r>
    </w:p>
    <w:p w:rsidR="0024697D" w:rsidRDefault="00F96826" w:rsidP="00C20341">
      <w:pPr>
        <w:spacing w:line="360" w:lineRule="auto"/>
        <w:rPr>
          <w:rFonts w:ascii="宋体" w:eastAsia="宋体" w:hAnsi="宋体"/>
          <w:color w:val="000000" w:themeColor="text1"/>
          <w:sz w:val="24"/>
          <w:szCs w:val="21"/>
        </w:rPr>
      </w:pPr>
      <w:r w:rsidRPr="006A4C81">
        <w:rPr>
          <w:rFonts w:ascii="宋体" w:eastAsia="宋体" w:hAnsi="宋体" w:hint="eastAsia"/>
          <w:b/>
          <w:color w:val="000000" w:themeColor="text1"/>
          <w:sz w:val="24"/>
          <w:szCs w:val="21"/>
        </w:rPr>
        <w:t>第四条</w:t>
      </w:r>
      <w:r w:rsidR="0061164B">
        <w:rPr>
          <w:rFonts w:ascii="宋体" w:eastAsia="宋体" w:hAnsi="宋体" w:hint="eastAsia"/>
          <w:b/>
          <w:color w:val="000000" w:themeColor="text1"/>
          <w:sz w:val="24"/>
          <w:szCs w:val="21"/>
        </w:rPr>
        <w:t xml:space="preserve"> </w:t>
      </w:r>
      <w:r w:rsidR="008F0CA3">
        <w:rPr>
          <w:rFonts w:ascii="宋体" w:eastAsia="宋体" w:hAnsi="宋体" w:hint="eastAsia"/>
          <w:color w:val="000000" w:themeColor="text1"/>
          <w:sz w:val="24"/>
          <w:szCs w:val="21"/>
        </w:rPr>
        <w:t>保险机构应</w:t>
      </w:r>
      <w:r w:rsidR="008F0CA3" w:rsidRPr="0092480A">
        <w:rPr>
          <w:rFonts w:ascii="宋体" w:eastAsia="宋体" w:hAnsi="宋体" w:hint="eastAsia"/>
          <w:color w:val="000000" w:themeColor="text1"/>
          <w:sz w:val="24"/>
          <w:szCs w:val="21"/>
        </w:rPr>
        <w:t>建立明确的决策与授权机制，严谨高效的业务操作流程，完善的风险控制制度、风险处置预案和责任追究制度</w:t>
      </w:r>
      <w:r w:rsidR="008F0CA3">
        <w:rPr>
          <w:rFonts w:ascii="宋体" w:eastAsia="宋体" w:hAnsi="宋体" w:hint="eastAsia"/>
          <w:color w:val="000000" w:themeColor="text1"/>
          <w:sz w:val="24"/>
          <w:szCs w:val="21"/>
        </w:rPr>
        <w:t>，明确投资决策、交易执行、投资后管理、信息披露等环节的内部控制要求。</w:t>
      </w:r>
    </w:p>
    <w:p w:rsidR="00C20341" w:rsidRDefault="00C20341" w:rsidP="00C20341">
      <w:pPr>
        <w:spacing w:line="360" w:lineRule="auto"/>
        <w:rPr>
          <w:rFonts w:ascii="宋体" w:eastAsia="宋体" w:hAnsi="宋体"/>
          <w:color w:val="000000" w:themeColor="text1"/>
          <w:sz w:val="24"/>
          <w:szCs w:val="21"/>
        </w:rPr>
      </w:pPr>
    </w:p>
    <w:p w:rsidR="00220907" w:rsidRDefault="00220907" w:rsidP="00A10E73">
      <w:pPr>
        <w:pStyle w:val="1"/>
        <w:spacing w:before="0" w:afterLines="50" w:line="360" w:lineRule="auto"/>
        <w:jc w:val="center"/>
        <w:rPr>
          <w:rFonts w:ascii="宋体" w:eastAsia="宋体" w:hAnsi="宋体"/>
          <w:color w:val="000000" w:themeColor="text1"/>
          <w:szCs w:val="21"/>
        </w:rPr>
      </w:pPr>
      <w:bookmarkStart w:id="2" w:name="_Toc408578701"/>
      <w:r w:rsidRPr="00307F17">
        <w:rPr>
          <w:rFonts w:ascii="宋体" w:eastAsia="宋体" w:hAnsi="宋体" w:hint="eastAsia"/>
          <w:color w:val="000000" w:themeColor="text1"/>
          <w:szCs w:val="21"/>
        </w:rPr>
        <w:t>第</w:t>
      </w:r>
      <w:r w:rsidR="00C82255">
        <w:rPr>
          <w:rFonts w:ascii="宋体" w:eastAsia="宋体" w:hAnsi="宋体" w:hint="eastAsia"/>
          <w:color w:val="000000" w:themeColor="text1"/>
          <w:szCs w:val="21"/>
        </w:rPr>
        <w:t>二</w:t>
      </w:r>
      <w:r w:rsidR="00AD0D30">
        <w:rPr>
          <w:rFonts w:ascii="宋体" w:eastAsia="宋体" w:hAnsi="宋体" w:hint="eastAsia"/>
          <w:color w:val="000000" w:themeColor="text1"/>
          <w:szCs w:val="21"/>
        </w:rPr>
        <w:t>节</w:t>
      </w:r>
      <w:r w:rsidR="0061164B">
        <w:rPr>
          <w:rFonts w:ascii="宋体" w:eastAsia="宋体" w:hAnsi="宋体" w:hint="eastAsia"/>
          <w:color w:val="000000" w:themeColor="text1"/>
          <w:szCs w:val="21"/>
        </w:rPr>
        <w:t xml:space="preserve"> </w:t>
      </w:r>
      <w:r w:rsidR="00C82255">
        <w:rPr>
          <w:rFonts w:ascii="宋体" w:eastAsia="宋体" w:hAnsi="宋体" w:hint="eastAsia"/>
          <w:color w:val="000000" w:themeColor="text1"/>
          <w:szCs w:val="21"/>
        </w:rPr>
        <w:t>职责分工与授权批准</w:t>
      </w:r>
      <w:bookmarkEnd w:id="2"/>
    </w:p>
    <w:p w:rsidR="008F0CA3" w:rsidRDefault="00C61243" w:rsidP="008F0CA3">
      <w:pPr>
        <w:spacing w:after="240" w:line="360" w:lineRule="auto"/>
        <w:rPr>
          <w:rFonts w:ascii="宋体" w:eastAsia="宋体" w:hAnsi="宋体"/>
          <w:color w:val="000000" w:themeColor="text1"/>
          <w:sz w:val="24"/>
          <w:szCs w:val="21"/>
        </w:rPr>
      </w:pPr>
      <w:r w:rsidRPr="000B6B61">
        <w:rPr>
          <w:rFonts w:ascii="宋体" w:eastAsia="宋体" w:hAnsi="宋体" w:hint="eastAsia"/>
          <w:b/>
          <w:color w:val="000000" w:themeColor="text1"/>
          <w:sz w:val="24"/>
          <w:szCs w:val="21"/>
        </w:rPr>
        <w:t>第</w:t>
      </w:r>
      <w:r w:rsidR="00EB28AC">
        <w:rPr>
          <w:rFonts w:ascii="宋体" w:eastAsia="宋体" w:hAnsi="宋体" w:hint="eastAsia"/>
          <w:b/>
          <w:color w:val="000000" w:themeColor="text1"/>
          <w:sz w:val="24"/>
          <w:szCs w:val="21"/>
        </w:rPr>
        <w:t>五</w:t>
      </w:r>
      <w:r>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008F0CA3">
        <w:rPr>
          <w:rFonts w:ascii="宋体" w:eastAsia="宋体" w:hAnsi="宋体" w:hint="eastAsia"/>
          <w:color w:val="000000" w:themeColor="text1"/>
          <w:sz w:val="24"/>
          <w:szCs w:val="21"/>
        </w:rPr>
        <w:t>保险机构应当</w:t>
      </w:r>
      <w:r w:rsidR="00EE22E3">
        <w:rPr>
          <w:rFonts w:ascii="宋体" w:eastAsia="宋体" w:hAnsi="宋体" w:hint="eastAsia"/>
          <w:color w:val="000000" w:themeColor="text1"/>
          <w:sz w:val="24"/>
          <w:szCs w:val="21"/>
        </w:rPr>
        <w:t>建立</w:t>
      </w:r>
      <w:r w:rsidR="00C20341">
        <w:rPr>
          <w:rFonts w:ascii="宋体" w:eastAsia="宋体" w:hAnsi="宋体" w:hint="eastAsia"/>
          <w:color w:val="000000" w:themeColor="text1"/>
          <w:sz w:val="24"/>
          <w:szCs w:val="21"/>
        </w:rPr>
        <w:t>权益</w:t>
      </w:r>
      <w:r w:rsidR="008F0CA3">
        <w:rPr>
          <w:rFonts w:ascii="宋体" w:eastAsia="宋体" w:hAnsi="宋体" w:hint="eastAsia"/>
          <w:color w:val="000000" w:themeColor="text1"/>
          <w:sz w:val="24"/>
          <w:szCs w:val="21"/>
        </w:rPr>
        <w:t>投资业务的岗位责任制，明确相关部门和岗位的职责权限，建立</w:t>
      </w:r>
      <w:r w:rsidR="008F0CA3" w:rsidRPr="00927E0D">
        <w:rPr>
          <w:rFonts w:ascii="宋体" w:eastAsia="宋体" w:hAnsi="宋体" w:hint="eastAsia"/>
          <w:color w:val="000000" w:themeColor="text1"/>
          <w:sz w:val="24"/>
          <w:szCs w:val="21"/>
        </w:rPr>
        <w:t>资产托管、集中交易和防火墙机制</w:t>
      </w:r>
      <w:r w:rsidR="008F0CA3">
        <w:rPr>
          <w:rFonts w:ascii="宋体" w:eastAsia="宋体" w:hAnsi="宋体" w:hint="eastAsia"/>
          <w:color w:val="000000" w:themeColor="text1"/>
          <w:sz w:val="24"/>
          <w:szCs w:val="21"/>
        </w:rPr>
        <w:t>，</w:t>
      </w:r>
      <w:r w:rsidR="008F0CA3" w:rsidRPr="00307F17">
        <w:rPr>
          <w:rFonts w:ascii="宋体" w:eastAsia="宋体" w:hAnsi="宋体" w:hint="eastAsia"/>
          <w:color w:val="000000" w:themeColor="text1"/>
          <w:sz w:val="24"/>
          <w:szCs w:val="21"/>
        </w:rPr>
        <w:t>严格分离投资前、中、后台岗位责任，</w:t>
      </w:r>
      <w:r w:rsidR="008F0CA3">
        <w:rPr>
          <w:rFonts w:ascii="宋体" w:eastAsia="宋体" w:hAnsi="宋体" w:hint="eastAsia"/>
          <w:color w:val="000000" w:themeColor="text1"/>
          <w:sz w:val="24"/>
          <w:szCs w:val="21"/>
        </w:rPr>
        <w:t>确保股票投资业务的不相容岗位相互分离、制约和监督。</w:t>
      </w:r>
    </w:p>
    <w:p w:rsidR="008F0CA3" w:rsidRDefault="008F0CA3" w:rsidP="008F0CA3">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t>股票及股票型基金投资的不相容岗位至少应当包括：</w:t>
      </w:r>
    </w:p>
    <w:p w:rsidR="008F0CA3" w:rsidRDefault="008F0CA3" w:rsidP="008F0CA3">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lastRenderedPageBreak/>
        <w:t>（</w:t>
      </w:r>
      <w:r w:rsidR="00822729">
        <w:rPr>
          <w:rFonts w:ascii="宋体" w:eastAsia="宋体" w:hAnsi="宋体" w:hint="eastAsia"/>
          <w:color w:val="000000" w:themeColor="text1"/>
          <w:sz w:val="24"/>
          <w:szCs w:val="21"/>
        </w:rPr>
        <w:t>一</w:t>
      </w:r>
      <w:r>
        <w:rPr>
          <w:rFonts w:ascii="宋体" w:eastAsia="宋体" w:hAnsi="宋体" w:hint="eastAsia"/>
          <w:color w:val="000000" w:themeColor="text1"/>
          <w:sz w:val="24"/>
          <w:szCs w:val="21"/>
        </w:rPr>
        <w:t>）投资指令下达与交易执行；</w:t>
      </w:r>
    </w:p>
    <w:p w:rsidR="00186000" w:rsidRPr="00186000" w:rsidRDefault="008F0CA3" w:rsidP="008F0CA3">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t>（</w:t>
      </w:r>
      <w:r w:rsidR="00822729">
        <w:rPr>
          <w:rFonts w:ascii="宋体" w:eastAsia="宋体" w:hAnsi="宋体" w:hint="eastAsia"/>
          <w:color w:val="000000" w:themeColor="text1"/>
          <w:sz w:val="24"/>
          <w:szCs w:val="21"/>
        </w:rPr>
        <w:t>二</w:t>
      </w:r>
      <w:r>
        <w:rPr>
          <w:rFonts w:ascii="宋体" w:eastAsia="宋体" w:hAnsi="宋体" w:hint="eastAsia"/>
          <w:color w:val="000000" w:themeColor="text1"/>
          <w:sz w:val="24"/>
          <w:szCs w:val="21"/>
        </w:rPr>
        <w:t>）投资前台与中台风控、组合管理以及后台清算、核算。</w:t>
      </w:r>
    </w:p>
    <w:p w:rsidR="008F0CA3" w:rsidRPr="00792267" w:rsidRDefault="005B784C" w:rsidP="008F0CA3">
      <w:pPr>
        <w:spacing w:after="240" w:line="360" w:lineRule="auto"/>
        <w:rPr>
          <w:rFonts w:ascii="Arial" w:eastAsia="宋体" w:hAnsi="宋体" w:cs="Arial"/>
          <w:sz w:val="24"/>
          <w:szCs w:val="24"/>
        </w:rPr>
      </w:pPr>
      <w:r w:rsidRPr="00322318">
        <w:rPr>
          <w:rFonts w:ascii="Arial" w:eastAsia="宋体" w:hAnsi="宋体" w:cs="Arial"/>
          <w:b/>
          <w:sz w:val="24"/>
          <w:szCs w:val="24"/>
        </w:rPr>
        <w:t>第六条</w:t>
      </w:r>
      <w:r w:rsidR="0061164B">
        <w:rPr>
          <w:rFonts w:ascii="Arial" w:eastAsia="宋体" w:hAnsi="宋体" w:cs="Arial" w:hint="eastAsia"/>
          <w:b/>
          <w:sz w:val="24"/>
          <w:szCs w:val="24"/>
        </w:rPr>
        <w:t xml:space="preserve"> </w:t>
      </w:r>
      <w:r w:rsidR="008F0CA3">
        <w:rPr>
          <w:rFonts w:ascii="宋体" w:eastAsia="宋体" w:hAnsi="宋体" w:hint="eastAsia"/>
          <w:color w:val="000000" w:themeColor="text1"/>
          <w:sz w:val="24"/>
          <w:szCs w:val="21"/>
        </w:rPr>
        <w:t>保险机构</w:t>
      </w:r>
      <w:r w:rsidR="008F0CA3" w:rsidRPr="002B689F">
        <w:rPr>
          <w:rFonts w:ascii="Arial" w:eastAsia="宋体" w:hAnsi="宋体" w:cs="Arial"/>
          <w:sz w:val="24"/>
          <w:szCs w:val="24"/>
        </w:rPr>
        <w:t>应当配备</w:t>
      </w:r>
      <w:r w:rsidR="008F0CA3">
        <w:rPr>
          <w:rFonts w:ascii="Arial" w:eastAsia="宋体" w:hAnsi="宋体" w:cs="Arial" w:hint="eastAsia"/>
          <w:sz w:val="24"/>
          <w:szCs w:val="24"/>
        </w:rPr>
        <w:t>一定数量具有权益投资经验的</w:t>
      </w:r>
      <w:r w:rsidR="008F0CA3" w:rsidRPr="002B689F">
        <w:rPr>
          <w:rFonts w:ascii="Arial" w:eastAsia="宋体" w:hAnsi="宋体" w:cs="Arial"/>
          <w:sz w:val="24"/>
          <w:szCs w:val="24"/>
        </w:rPr>
        <w:t>人员</w:t>
      </w:r>
      <w:r w:rsidR="008F0CA3">
        <w:rPr>
          <w:rFonts w:ascii="Arial" w:eastAsia="宋体" w:hAnsi="宋体" w:cs="Arial" w:hint="eastAsia"/>
          <w:sz w:val="24"/>
          <w:szCs w:val="24"/>
        </w:rPr>
        <w:t>开展股票及股票型基金的</w:t>
      </w:r>
      <w:r w:rsidR="008F0CA3" w:rsidRPr="002B689F">
        <w:rPr>
          <w:rFonts w:ascii="Arial" w:eastAsia="宋体" w:hAnsi="宋体" w:cs="Arial"/>
          <w:sz w:val="24"/>
          <w:szCs w:val="24"/>
        </w:rPr>
        <w:t>投资业务</w:t>
      </w:r>
      <w:r w:rsidR="00C20341">
        <w:rPr>
          <w:rFonts w:ascii="Arial" w:eastAsia="宋体" w:hAnsi="宋体" w:cs="Arial" w:hint="eastAsia"/>
          <w:sz w:val="24"/>
          <w:szCs w:val="24"/>
        </w:rPr>
        <w:t>，并配备具有投资</w:t>
      </w:r>
      <w:r w:rsidR="008F0CA3">
        <w:rPr>
          <w:rFonts w:ascii="Arial" w:eastAsia="宋体" w:hAnsi="宋体" w:cs="Arial" w:hint="eastAsia"/>
          <w:sz w:val="24"/>
          <w:szCs w:val="24"/>
        </w:rPr>
        <w:t>分析、</w:t>
      </w:r>
      <w:r w:rsidR="00C20341">
        <w:rPr>
          <w:rFonts w:ascii="Arial" w:eastAsia="宋体" w:hAnsi="宋体" w:cs="Arial" w:hint="eastAsia"/>
          <w:sz w:val="24"/>
          <w:szCs w:val="24"/>
        </w:rPr>
        <w:t>权益投资研究方面</w:t>
      </w:r>
      <w:r w:rsidR="008F0CA3">
        <w:rPr>
          <w:rFonts w:ascii="Arial" w:eastAsia="宋体" w:hAnsi="宋体" w:cs="Arial" w:hint="eastAsia"/>
          <w:sz w:val="24"/>
          <w:szCs w:val="24"/>
        </w:rPr>
        <w:t>人员。从事</w:t>
      </w:r>
      <w:r w:rsidR="00C20341">
        <w:rPr>
          <w:rFonts w:ascii="Arial" w:eastAsia="宋体" w:hAnsi="宋体" w:cs="Arial" w:hint="eastAsia"/>
          <w:sz w:val="24"/>
          <w:szCs w:val="24"/>
        </w:rPr>
        <w:t>权益</w:t>
      </w:r>
      <w:r w:rsidR="008F0CA3" w:rsidRPr="002B689F">
        <w:rPr>
          <w:rFonts w:ascii="Arial" w:eastAsia="宋体" w:hAnsi="宋体" w:cs="Arial"/>
          <w:sz w:val="24"/>
          <w:szCs w:val="24"/>
        </w:rPr>
        <w:t>投资</w:t>
      </w:r>
      <w:r w:rsidR="008F0CA3">
        <w:rPr>
          <w:rFonts w:ascii="Arial" w:eastAsia="宋体" w:hAnsi="宋体" w:cs="Arial" w:hint="eastAsia"/>
          <w:sz w:val="24"/>
          <w:szCs w:val="24"/>
        </w:rPr>
        <w:t>的</w:t>
      </w:r>
      <w:r w:rsidR="008F0CA3" w:rsidRPr="002B689F">
        <w:rPr>
          <w:rFonts w:ascii="Arial" w:eastAsia="宋体" w:hAnsi="宋体" w:cs="Arial"/>
          <w:sz w:val="24"/>
          <w:szCs w:val="24"/>
        </w:rPr>
        <w:t>人员应当具备良好的职业道德，掌握金融、投资、财会、法律等方面的专业知识。</w:t>
      </w:r>
    </w:p>
    <w:p w:rsidR="00C20341" w:rsidRDefault="008F0CA3" w:rsidP="00C20341">
      <w:pPr>
        <w:tabs>
          <w:tab w:val="left" w:pos="660"/>
        </w:tabs>
        <w:adjustRightInd w:val="0"/>
        <w:spacing w:line="360" w:lineRule="auto"/>
        <w:rPr>
          <w:rFonts w:ascii="宋体" w:eastAsia="宋体" w:hAnsi="宋体"/>
          <w:color w:val="000000" w:themeColor="text1"/>
          <w:sz w:val="24"/>
          <w:szCs w:val="21"/>
        </w:rPr>
      </w:pPr>
      <w:r w:rsidRPr="00322318">
        <w:rPr>
          <w:rFonts w:ascii="Arial" w:eastAsia="宋体" w:hAnsi="宋体" w:cs="Arial"/>
          <w:b/>
          <w:sz w:val="24"/>
          <w:szCs w:val="24"/>
        </w:rPr>
        <w:t>第七条</w:t>
      </w:r>
      <w:r w:rsidR="0061164B">
        <w:rPr>
          <w:rFonts w:ascii="Arial" w:eastAsia="宋体" w:hAnsi="宋体" w:cs="Arial" w:hint="eastAsia"/>
          <w:b/>
          <w:sz w:val="24"/>
          <w:szCs w:val="24"/>
        </w:rPr>
        <w:t xml:space="preserve"> </w:t>
      </w:r>
      <w:r w:rsidR="00863928">
        <w:rPr>
          <w:rFonts w:ascii="宋体" w:eastAsia="宋体" w:hAnsi="宋体" w:hint="eastAsia"/>
          <w:color w:val="000000" w:themeColor="text1"/>
          <w:sz w:val="24"/>
          <w:szCs w:val="21"/>
        </w:rPr>
        <w:t>保险机构</w:t>
      </w:r>
      <w:r w:rsidR="00AE67A4" w:rsidRPr="00307F17">
        <w:rPr>
          <w:rFonts w:ascii="宋体" w:eastAsia="宋体" w:hAnsi="宋体" w:hint="eastAsia"/>
          <w:color w:val="000000" w:themeColor="text1"/>
          <w:sz w:val="24"/>
          <w:szCs w:val="21"/>
        </w:rPr>
        <w:t>应当建立健全相对集中、分级管理、权责统一的</w:t>
      </w:r>
      <w:r w:rsidR="00C20341">
        <w:rPr>
          <w:rFonts w:ascii="宋体" w:eastAsia="宋体" w:hAnsi="宋体" w:hint="eastAsia"/>
          <w:color w:val="000000" w:themeColor="text1"/>
          <w:sz w:val="24"/>
          <w:szCs w:val="21"/>
        </w:rPr>
        <w:t>权益</w:t>
      </w:r>
      <w:r w:rsidR="00AE67A4" w:rsidRPr="00307F17">
        <w:rPr>
          <w:rFonts w:ascii="宋体" w:eastAsia="宋体" w:hAnsi="宋体" w:hint="eastAsia"/>
          <w:color w:val="000000" w:themeColor="text1"/>
          <w:sz w:val="24"/>
          <w:szCs w:val="21"/>
        </w:rPr>
        <w:t>投资决策和授权制度，</w:t>
      </w:r>
      <w:r w:rsidR="00C20341">
        <w:rPr>
          <w:rFonts w:ascii="Arial" w:eastAsia="宋体" w:hAnsi="宋体" w:cs="Arial" w:hint="eastAsia"/>
          <w:sz w:val="24"/>
          <w:szCs w:val="24"/>
        </w:rPr>
        <w:t>以及覆盖</w:t>
      </w:r>
      <w:r w:rsidR="00C20341" w:rsidRPr="00A616CE">
        <w:rPr>
          <w:rFonts w:ascii="Arial" w:eastAsia="宋体" w:hAnsi="宋体" w:cs="Arial" w:hint="eastAsia"/>
          <w:sz w:val="24"/>
          <w:szCs w:val="24"/>
        </w:rPr>
        <w:t>投资研究、</w:t>
      </w:r>
      <w:r w:rsidR="00C20341">
        <w:rPr>
          <w:rFonts w:ascii="Arial" w:eastAsia="宋体" w:hAnsi="宋体" w:cs="Arial" w:hint="eastAsia"/>
          <w:sz w:val="24"/>
          <w:szCs w:val="24"/>
        </w:rPr>
        <w:t>投资</w:t>
      </w:r>
      <w:r w:rsidR="00C20341" w:rsidRPr="00A616CE">
        <w:rPr>
          <w:rFonts w:ascii="Arial" w:eastAsia="宋体" w:hAnsi="宋体" w:cs="Arial" w:hint="eastAsia"/>
          <w:sz w:val="24"/>
          <w:szCs w:val="24"/>
        </w:rPr>
        <w:t>决策、</w:t>
      </w:r>
      <w:r w:rsidR="00C20341">
        <w:rPr>
          <w:rFonts w:ascii="Arial" w:eastAsia="宋体" w:hAnsi="宋体" w:cs="Arial" w:hint="eastAsia"/>
          <w:sz w:val="24"/>
          <w:szCs w:val="24"/>
        </w:rPr>
        <w:t>指令下达、</w:t>
      </w:r>
      <w:r w:rsidR="00C20341" w:rsidRPr="00A616CE">
        <w:rPr>
          <w:rFonts w:ascii="Arial" w:eastAsia="宋体" w:hAnsi="宋体" w:cs="Arial" w:hint="eastAsia"/>
          <w:sz w:val="24"/>
          <w:szCs w:val="24"/>
        </w:rPr>
        <w:t>合同签署、</w:t>
      </w:r>
      <w:r w:rsidR="00C20341">
        <w:rPr>
          <w:rFonts w:ascii="Arial" w:eastAsia="宋体" w:hAnsi="宋体" w:cs="Arial" w:hint="eastAsia"/>
          <w:sz w:val="24"/>
          <w:szCs w:val="24"/>
        </w:rPr>
        <w:t>交易执行</w:t>
      </w:r>
      <w:r w:rsidR="00C20341" w:rsidRPr="00A616CE">
        <w:rPr>
          <w:rFonts w:ascii="Arial" w:eastAsia="宋体" w:hAnsi="宋体" w:cs="Arial" w:hint="eastAsia"/>
          <w:sz w:val="24"/>
          <w:szCs w:val="24"/>
        </w:rPr>
        <w:t>、业务资料保管、投后管理等各个</w:t>
      </w:r>
      <w:r w:rsidR="00C20341" w:rsidRPr="00A616CE">
        <w:rPr>
          <w:rFonts w:ascii="Arial" w:eastAsia="宋体" w:hAnsi="宋体" w:cs="Arial"/>
          <w:sz w:val="24"/>
          <w:szCs w:val="24"/>
        </w:rPr>
        <w:t>业务环节的</w:t>
      </w:r>
      <w:r w:rsidR="00C20341" w:rsidRPr="00A616CE">
        <w:rPr>
          <w:rFonts w:ascii="Arial" w:eastAsia="宋体" w:hAnsi="宋体" w:cs="Arial" w:hint="eastAsia"/>
          <w:sz w:val="24"/>
          <w:szCs w:val="24"/>
        </w:rPr>
        <w:t>操作流程及操作细则</w:t>
      </w:r>
      <w:r w:rsidR="00C20341">
        <w:rPr>
          <w:rFonts w:ascii="Arial" w:eastAsia="宋体" w:hAnsi="宋体" w:cs="Arial" w:hint="eastAsia"/>
          <w:sz w:val="24"/>
          <w:szCs w:val="24"/>
        </w:rPr>
        <w:t>，</w:t>
      </w:r>
      <w:r w:rsidR="00C20341" w:rsidRPr="00307F17">
        <w:rPr>
          <w:rFonts w:ascii="宋体" w:eastAsia="宋体" w:hAnsi="宋体" w:hint="eastAsia"/>
          <w:color w:val="000000" w:themeColor="text1"/>
          <w:sz w:val="24"/>
          <w:szCs w:val="21"/>
        </w:rPr>
        <w:t>明确各个环节、有关岗位的</w:t>
      </w:r>
      <w:r w:rsidR="00C20341" w:rsidRPr="00A616CE">
        <w:rPr>
          <w:rFonts w:ascii="Arial" w:eastAsia="宋体" w:hAnsi="宋体" w:cs="Arial" w:hint="eastAsia"/>
          <w:sz w:val="24"/>
          <w:szCs w:val="24"/>
        </w:rPr>
        <w:t>职责要求</w:t>
      </w:r>
      <w:r w:rsidR="00C20341">
        <w:rPr>
          <w:rFonts w:ascii="Arial" w:eastAsia="宋体" w:hAnsi="宋体" w:cs="Arial" w:hint="eastAsia"/>
          <w:sz w:val="24"/>
          <w:szCs w:val="24"/>
        </w:rPr>
        <w:t>、</w:t>
      </w:r>
      <w:r w:rsidR="00C20341" w:rsidRPr="00307F17">
        <w:rPr>
          <w:rFonts w:ascii="宋体" w:eastAsia="宋体" w:hAnsi="宋体" w:hint="eastAsia"/>
          <w:color w:val="000000" w:themeColor="text1"/>
          <w:sz w:val="24"/>
          <w:szCs w:val="21"/>
        </w:rPr>
        <w:t>衔接方式及操作标准</w:t>
      </w:r>
      <w:r w:rsidR="00C20341" w:rsidRPr="00A616CE">
        <w:rPr>
          <w:rFonts w:ascii="Arial" w:eastAsia="宋体" w:hAnsi="宋体" w:cs="Arial"/>
          <w:sz w:val="24"/>
          <w:szCs w:val="24"/>
        </w:rPr>
        <w:t>。</w:t>
      </w:r>
      <w:r w:rsidR="00C20341">
        <w:rPr>
          <w:rFonts w:ascii="宋体" w:eastAsia="宋体" w:hAnsi="宋体" w:hint="eastAsia"/>
          <w:color w:val="000000" w:themeColor="text1"/>
          <w:sz w:val="24"/>
          <w:szCs w:val="21"/>
        </w:rPr>
        <w:t>保险机构应</w:t>
      </w:r>
      <w:r w:rsidR="00C20341" w:rsidRPr="00307F17">
        <w:rPr>
          <w:rFonts w:ascii="宋体" w:eastAsia="宋体" w:hAnsi="宋体" w:hint="eastAsia"/>
          <w:color w:val="000000" w:themeColor="text1"/>
          <w:sz w:val="24"/>
          <w:szCs w:val="21"/>
        </w:rPr>
        <w:t>定期检查和评估</w:t>
      </w:r>
      <w:r w:rsidR="00C20341">
        <w:rPr>
          <w:rFonts w:ascii="宋体" w:eastAsia="宋体" w:hAnsi="宋体" w:hint="eastAsia"/>
          <w:color w:val="000000" w:themeColor="text1"/>
          <w:sz w:val="24"/>
          <w:szCs w:val="21"/>
        </w:rPr>
        <w:t>权益投资相关</w:t>
      </w:r>
      <w:r w:rsidR="00C20341" w:rsidRPr="00307F17">
        <w:rPr>
          <w:rFonts w:ascii="宋体" w:eastAsia="宋体" w:hAnsi="宋体" w:hint="eastAsia"/>
          <w:color w:val="000000" w:themeColor="text1"/>
          <w:sz w:val="24"/>
          <w:szCs w:val="21"/>
        </w:rPr>
        <w:t>制度</w:t>
      </w:r>
      <w:r w:rsidR="00C20341">
        <w:rPr>
          <w:rFonts w:ascii="宋体" w:eastAsia="宋体" w:hAnsi="宋体" w:hint="eastAsia"/>
          <w:color w:val="000000" w:themeColor="text1"/>
          <w:sz w:val="24"/>
          <w:szCs w:val="21"/>
        </w:rPr>
        <w:t>的执行情况。</w:t>
      </w:r>
    </w:p>
    <w:p w:rsidR="00C20341" w:rsidRDefault="00C20341" w:rsidP="00C20341">
      <w:pPr>
        <w:tabs>
          <w:tab w:val="left" w:pos="660"/>
        </w:tabs>
        <w:adjustRightInd w:val="0"/>
        <w:spacing w:line="360" w:lineRule="auto"/>
        <w:rPr>
          <w:rFonts w:ascii="宋体" w:eastAsia="宋体" w:hAnsi="宋体"/>
          <w:color w:val="000000" w:themeColor="text1"/>
          <w:sz w:val="24"/>
          <w:szCs w:val="21"/>
        </w:rPr>
      </w:pPr>
    </w:p>
    <w:p w:rsidR="00C61243" w:rsidRPr="00CD0EDE" w:rsidRDefault="00AD0D30" w:rsidP="00A10E73">
      <w:pPr>
        <w:pStyle w:val="1"/>
        <w:spacing w:before="0" w:afterLines="50" w:line="360" w:lineRule="auto"/>
        <w:jc w:val="center"/>
        <w:rPr>
          <w:rFonts w:ascii="宋体" w:eastAsia="宋体" w:hAnsi="宋体"/>
          <w:color w:val="000000" w:themeColor="text1"/>
          <w:szCs w:val="21"/>
        </w:rPr>
      </w:pPr>
      <w:bookmarkStart w:id="3" w:name="_Toc408578702"/>
      <w:r>
        <w:rPr>
          <w:rFonts w:ascii="宋体" w:eastAsia="宋体" w:hAnsi="宋体" w:hint="eastAsia"/>
          <w:color w:val="000000" w:themeColor="text1"/>
          <w:szCs w:val="21"/>
        </w:rPr>
        <w:t>第三节</w:t>
      </w:r>
      <w:r w:rsidR="005B784C" w:rsidRPr="00CD0EDE">
        <w:rPr>
          <w:rFonts w:ascii="宋体" w:eastAsia="宋体" w:hAnsi="宋体" w:hint="eastAsia"/>
          <w:color w:val="000000" w:themeColor="text1"/>
          <w:szCs w:val="21"/>
        </w:rPr>
        <w:t xml:space="preserve"> 投资研究支持与决策控制</w:t>
      </w:r>
      <w:bookmarkEnd w:id="3"/>
    </w:p>
    <w:p w:rsidR="00B75F82" w:rsidRDefault="005B784C" w:rsidP="001359A8">
      <w:pPr>
        <w:spacing w:after="240" w:line="360" w:lineRule="auto"/>
        <w:rPr>
          <w:rFonts w:ascii="宋体" w:eastAsia="宋体" w:hAnsi="宋体"/>
          <w:color w:val="000000" w:themeColor="text1"/>
          <w:sz w:val="24"/>
          <w:szCs w:val="21"/>
        </w:rPr>
      </w:pPr>
      <w:r w:rsidRPr="00B75F82">
        <w:rPr>
          <w:rFonts w:ascii="宋体" w:eastAsia="宋体" w:hAnsi="宋体" w:hint="eastAsia"/>
          <w:b/>
          <w:color w:val="000000" w:themeColor="text1"/>
          <w:sz w:val="24"/>
          <w:szCs w:val="21"/>
        </w:rPr>
        <w:t>第</w:t>
      </w:r>
      <w:r w:rsidR="006C55F0">
        <w:rPr>
          <w:rFonts w:ascii="宋体" w:eastAsia="宋体" w:hAnsi="宋体" w:hint="eastAsia"/>
          <w:b/>
          <w:color w:val="000000" w:themeColor="text1"/>
          <w:sz w:val="24"/>
          <w:szCs w:val="21"/>
        </w:rPr>
        <w:t>八</w:t>
      </w:r>
      <w:r w:rsidRPr="00B75F82">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00863928">
        <w:rPr>
          <w:rFonts w:ascii="宋体" w:eastAsia="宋体" w:hAnsi="宋体" w:hint="eastAsia"/>
          <w:color w:val="000000" w:themeColor="text1"/>
          <w:sz w:val="24"/>
          <w:szCs w:val="21"/>
        </w:rPr>
        <w:t>保险机构</w:t>
      </w:r>
      <w:r w:rsidR="006C703E" w:rsidRPr="006C703E">
        <w:rPr>
          <w:rFonts w:ascii="宋体" w:eastAsia="宋体" w:hAnsi="宋体" w:hint="eastAsia"/>
          <w:color w:val="000000" w:themeColor="text1"/>
          <w:sz w:val="24"/>
          <w:szCs w:val="21"/>
        </w:rPr>
        <w:t>应当</w:t>
      </w:r>
      <w:r w:rsidR="00276D2B">
        <w:rPr>
          <w:rFonts w:ascii="宋体" w:eastAsia="宋体" w:hAnsi="宋体" w:hint="eastAsia"/>
          <w:color w:val="000000" w:themeColor="text1"/>
          <w:sz w:val="24"/>
          <w:szCs w:val="21"/>
        </w:rPr>
        <w:t>成立股票投资研究部门，</w:t>
      </w:r>
      <w:r w:rsidR="00B75F82" w:rsidRPr="00B75F82">
        <w:rPr>
          <w:rFonts w:ascii="宋体" w:eastAsia="宋体" w:hAnsi="宋体" w:hint="eastAsia"/>
          <w:color w:val="000000" w:themeColor="text1"/>
          <w:sz w:val="24"/>
          <w:szCs w:val="21"/>
        </w:rPr>
        <w:t>及时、准确、全面地向</w:t>
      </w:r>
      <w:r w:rsidR="006F603D">
        <w:rPr>
          <w:rFonts w:ascii="宋体" w:eastAsia="宋体" w:hAnsi="宋体" w:hint="eastAsia"/>
          <w:color w:val="000000" w:themeColor="text1"/>
          <w:sz w:val="24"/>
          <w:szCs w:val="21"/>
        </w:rPr>
        <w:t>股票投资部门</w:t>
      </w:r>
      <w:r w:rsidR="00B75F82" w:rsidRPr="00B75F82">
        <w:rPr>
          <w:rFonts w:ascii="宋体" w:eastAsia="宋体" w:hAnsi="宋体" w:hint="eastAsia"/>
          <w:color w:val="000000" w:themeColor="text1"/>
          <w:sz w:val="24"/>
          <w:szCs w:val="21"/>
        </w:rPr>
        <w:t>提供宏观情势判断、行业配置策略、行业及上市公司最新信息，为</w:t>
      </w:r>
      <w:r w:rsidR="008006DC">
        <w:rPr>
          <w:rFonts w:ascii="宋体" w:eastAsia="宋体" w:hAnsi="宋体" w:hint="eastAsia"/>
          <w:color w:val="000000" w:themeColor="text1"/>
          <w:sz w:val="24"/>
          <w:szCs w:val="21"/>
        </w:rPr>
        <w:t>投资决策提供依据</w:t>
      </w:r>
      <w:r w:rsidR="00B75F82" w:rsidRPr="00B75F82">
        <w:rPr>
          <w:rFonts w:ascii="宋体" w:eastAsia="宋体" w:hAnsi="宋体" w:hint="eastAsia"/>
          <w:color w:val="000000" w:themeColor="text1"/>
          <w:sz w:val="24"/>
          <w:szCs w:val="21"/>
        </w:rPr>
        <w:t>。</w:t>
      </w:r>
    </w:p>
    <w:p w:rsidR="001359A8" w:rsidRDefault="00B75F82" w:rsidP="001359A8">
      <w:pPr>
        <w:spacing w:after="240" w:line="360" w:lineRule="auto"/>
        <w:rPr>
          <w:rFonts w:ascii="宋体" w:eastAsia="宋体" w:hAnsi="宋体"/>
          <w:color w:val="000000" w:themeColor="text1"/>
          <w:sz w:val="24"/>
          <w:szCs w:val="21"/>
        </w:rPr>
      </w:pPr>
      <w:r w:rsidRPr="00FC5F19">
        <w:rPr>
          <w:rFonts w:ascii="宋体" w:eastAsia="宋体" w:hAnsi="宋体" w:hint="eastAsia"/>
          <w:b/>
          <w:color w:val="000000" w:themeColor="text1"/>
          <w:sz w:val="24"/>
          <w:szCs w:val="21"/>
        </w:rPr>
        <w:t>第</w:t>
      </w:r>
      <w:r w:rsidR="006C55F0">
        <w:rPr>
          <w:rFonts w:ascii="宋体" w:eastAsia="宋体" w:hAnsi="宋体" w:hint="eastAsia"/>
          <w:b/>
          <w:color w:val="000000" w:themeColor="text1"/>
          <w:sz w:val="24"/>
          <w:szCs w:val="21"/>
        </w:rPr>
        <w:t>九</w:t>
      </w:r>
      <w:r w:rsidRPr="00FC5F19">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00863928">
        <w:rPr>
          <w:rFonts w:ascii="宋体" w:eastAsia="宋体" w:hAnsi="宋体" w:hint="eastAsia"/>
          <w:color w:val="000000" w:themeColor="text1"/>
          <w:sz w:val="24"/>
          <w:szCs w:val="21"/>
        </w:rPr>
        <w:t>保险机构</w:t>
      </w:r>
      <w:r w:rsidR="006F603D">
        <w:rPr>
          <w:rFonts w:ascii="宋体" w:eastAsia="宋体" w:hAnsi="宋体" w:hint="eastAsia"/>
          <w:color w:val="000000" w:themeColor="text1"/>
          <w:sz w:val="24"/>
          <w:szCs w:val="21"/>
        </w:rPr>
        <w:t>应当建立专业的股票投资研究</w:t>
      </w:r>
      <w:r w:rsidR="00276D2B">
        <w:rPr>
          <w:rFonts w:ascii="宋体" w:eastAsia="宋体" w:hAnsi="宋体" w:hint="eastAsia"/>
          <w:color w:val="000000" w:themeColor="text1"/>
          <w:sz w:val="24"/>
          <w:szCs w:val="21"/>
        </w:rPr>
        <w:t>分析平台，并利用外部研究成果，</w:t>
      </w:r>
      <w:r w:rsidR="006C703E" w:rsidRPr="006C703E">
        <w:rPr>
          <w:rFonts w:ascii="宋体" w:eastAsia="宋体" w:hAnsi="宋体" w:hint="eastAsia"/>
          <w:color w:val="000000" w:themeColor="text1"/>
          <w:sz w:val="24"/>
          <w:szCs w:val="21"/>
        </w:rPr>
        <w:t>制定涵盖</w:t>
      </w:r>
      <w:r w:rsidR="00276D2B">
        <w:rPr>
          <w:rFonts w:ascii="宋体" w:eastAsia="宋体" w:hAnsi="宋体" w:hint="eastAsia"/>
          <w:color w:val="000000" w:themeColor="text1"/>
          <w:sz w:val="24"/>
          <w:szCs w:val="21"/>
        </w:rPr>
        <w:t>宏观研究</w:t>
      </w:r>
      <w:r w:rsidR="006C703E" w:rsidRPr="006C703E">
        <w:rPr>
          <w:rFonts w:ascii="宋体" w:eastAsia="宋体" w:hAnsi="宋体" w:hint="eastAsia"/>
          <w:color w:val="000000" w:themeColor="text1"/>
          <w:sz w:val="24"/>
          <w:szCs w:val="21"/>
        </w:rPr>
        <w:t>和</w:t>
      </w:r>
      <w:r w:rsidR="00276D2B">
        <w:rPr>
          <w:rFonts w:ascii="宋体" w:eastAsia="宋体" w:hAnsi="宋体" w:hint="eastAsia"/>
          <w:color w:val="000000" w:themeColor="text1"/>
          <w:sz w:val="24"/>
          <w:szCs w:val="21"/>
        </w:rPr>
        <w:t>行业研究</w:t>
      </w:r>
      <w:r w:rsidR="006C703E" w:rsidRPr="006C703E">
        <w:rPr>
          <w:rFonts w:ascii="宋体" w:eastAsia="宋体" w:hAnsi="宋体" w:hint="eastAsia"/>
          <w:color w:val="000000" w:themeColor="text1"/>
          <w:sz w:val="24"/>
          <w:szCs w:val="21"/>
        </w:rPr>
        <w:t>的制度和模型，建立禁选池、备选池和核心池等不同层级的有价证券池，实时跟踪并分析市场变化，</w:t>
      </w:r>
      <w:r w:rsidR="00C20341">
        <w:rPr>
          <w:rFonts w:ascii="宋体" w:eastAsia="宋体" w:hAnsi="宋体" w:hint="eastAsia"/>
          <w:color w:val="000000" w:themeColor="text1"/>
          <w:sz w:val="24"/>
          <w:szCs w:val="21"/>
        </w:rPr>
        <w:t>并</w:t>
      </w:r>
      <w:r w:rsidR="00863928">
        <w:rPr>
          <w:rFonts w:ascii="宋体" w:eastAsia="宋体" w:hAnsi="宋体" w:hint="eastAsia"/>
          <w:color w:val="000000" w:themeColor="text1"/>
          <w:sz w:val="24"/>
          <w:szCs w:val="21"/>
        </w:rPr>
        <w:t>维护</w:t>
      </w:r>
      <w:r w:rsidR="006C703E" w:rsidRPr="006C703E">
        <w:rPr>
          <w:rFonts w:ascii="宋体" w:eastAsia="宋体" w:hAnsi="宋体" w:hint="eastAsia"/>
          <w:color w:val="000000" w:themeColor="text1"/>
          <w:sz w:val="24"/>
          <w:szCs w:val="21"/>
        </w:rPr>
        <w:t>证券池的</w:t>
      </w:r>
      <w:r w:rsidR="00C20341">
        <w:rPr>
          <w:rFonts w:ascii="宋体" w:eastAsia="宋体" w:hAnsi="宋体" w:hint="eastAsia"/>
          <w:color w:val="000000" w:themeColor="text1"/>
          <w:sz w:val="24"/>
          <w:szCs w:val="21"/>
        </w:rPr>
        <w:t>相关信息</w:t>
      </w:r>
      <w:r w:rsidR="00863928">
        <w:rPr>
          <w:rFonts w:ascii="宋体" w:eastAsia="宋体" w:hAnsi="宋体" w:hint="eastAsia"/>
          <w:color w:val="000000" w:themeColor="text1"/>
          <w:sz w:val="24"/>
          <w:szCs w:val="21"/>
        </w:rPr>
        <w:t>，确保证券池管理的及时性和有效性</w:t>
      </w:r>
      <w:r w:rsidR="006C703E" w:rsidRPr="006C703E">
        <w:rPr>
          <w:rFonts w:ascii="宋体" w:eastAsia="宋体" w:hAnsi="宋体" w:hint="eastAsia"/>
          <w:color w:val="000000" w:themeColor="text1"/>
          <w:sz w:val="24"/>
          <w:szCs w:val="21"/>
        </w:rPr>
        <w:t>。</w:t>
      </w:r>
    </w:p>
    <w:p w:rsidR="00863928" w:rsidRPr="00B75F82" w:rsidRDefault="006C55F0" w:rsidP="00863928">
      <w:pPr>
        <w:spacing w:after="240" w:line="360" w:lineRule="auto"/>
        <w:rPr>
          <w:rFonts w:ascii="宋体" w:eastAsia="宋体" w:hAnsi="宋体"/>
          <w:color w:val="000000" w:themeColor="text1"/>
          <w:sz w:val="24"/>
          <w:szCs w:val="21"/>
        </w:rPr>
      </w:pPr>
      <w:r>
        <w:rPr>
          <w:rFonts w:ascii="宋体" w:eastAsia="宋体" w:hAnsi="宋体" w:hint="eastAsia"/>
          <w:b/>
          <w:color w:val="000000" w:themeColor="text1"/>
          <w:sz w:val="24"/>
          <w:szCs w:val="21"/>
        </w:rPr>
        <w:t>第十</w:t>
      </w:r>
      <w:r w:rsidR="00863928" w:rsidRPr="00CA7B7B">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00863928">
        <w:rPr>
          <w:rFonts w:ascii="宋体" w:eastAsia="宋体" w:hAnsi="宋体" w:hint="eastAsia"/>
          <w:color w:val="000000" w:themeColor="text1"/>
          <w:sz w:val="24"/>
          <w:szCs w:val="21"/>
        </w:rPr>
        <w:t>保险机构</w:t>
      </w:r>
      <w:r w:rsidR="00863928" w:rsidRPr="00307F17">
        <w:rPr>
          <w:rFonts w:ascii="宋体" w:eastAsia="宋体" w:hAnsi="宋体" w:hint="eastAsia"/>
          <w:color w:val="000000" w:themeColor="text1"/>
          <w:sz w:val="24"/>
          <w:szCs w:val="21"/>
        </w:rPr>
        <w:t>应当执行委托人资产配置指引，根据保险资金特性构建投资组合，公平对待不同资金</w:t>
      </w:r>
      <w:r w:rsidR="00863928" w:rsidRPr="00307F17">
        <w:rPr>
          <w:rFonts w:ascii="宋体" w:eastAsia="宋体" w:hAnsi="宋体"/>
          <w:color w:val="000000" w:themeColor="text1"/>
          <w:sz w:val="24"/>
          <w:szCs w:val="21"/>
        </w:rPr>
        <w:t>。</w:t>
      </w:r>
      <w:r w:rsidR="00863928">
        <w:rPr>
          <w:rFonts w:ascii="宋体" w:eastAsia="宋体" w:hAnsi="宋体" w:hint="eastAsia"/>
          <w:color w:val="000000" w:themeColor="text1"/>
          <w:sz w:val="24"/>
          <w:szCs w:val="21"/>
        </w:rPr>
        <w:t>保险机构应根据</w:t>
      </w:r>
      <w:r w:rsidR="00863928" w:rsidRPr="00C20341">
        <w:rPr>
          <w:rFonts w:ascii="宋体" w:eastAsia="宋体" w:hAnsi="宋体" w:hint="eastAsia"/>
          <w:color w:val="000000" w:themeColor="text1"/>
          <w:sz w:val="24"/>
          <w:szCs w:val="21"/>
        </w:rPr>
        <w:t>委托</w:t>
      </w:r>
      <w:r w:rsidR="00863928">
        <w:rPr>
          <w:rFonts w:ascii="宋体" w:eastAsia="宋体" w:hAnsi="宋体" w:hint="eastAsia"/>
          <w:color w:val="000000" w:themeColor="text1"/>
          <w:sz w:val="24"/>
          <w:szCs w:val="21"/>
        </w:rPr>
        <w:t>方的</w:t>
      </w:r>
      <w:r w:rsidR="00863928" w:rsidRPr="00C20341">
        <w:rPr>
          <w:rFonts w:ascii="宋体" w:eastAsia="宋体" w:hAnsi="宋体" w:hint="eastAsia"/>
          <w:color w:val="000000" w:themeColor="text1"/>
          <w:sz w:val="24"/>
          <w:szCs w:val="21"/>
        </w:rPr>
        <w:t>投资指引</w:t>
      </w:r>
      <w:r w:rsidR="00863928">
        <w:rPr>
          <w:rFonts w:ascii="宋体" w:eastAsia="宋体" w:hAnsi="宋体" w:hint="eastAsia"/>
          <w:color w:val="000000" w:themeColor="text1"/>
          <w:sz w:val="24"/>
          <w:szCs w:val="21"/>
        </w:rPr>
        <w:t>确定</w:t>
      </w:r>
      <w:r w:rsidR="00863928" w:rsidRPr="00C20341">
        <w:rPr>
          <w:rFonts w:ascii="宋体" w:eastAsia="宋体" w:hAnsi="宋体" w:hint="eastAsia"/>
          <w:color w:val="000000" w:themeColor="text1"/>
          <w:sz w:val="24"/>
          <w:szCs w:val="21"/>
        </w:rPr>
        <w:t>股票投资计划</w:t>
      </w:r>
      <w:r w:rsidR="00863928">
        <w:rPr>
          <w:rFonts w:ascii="宋体" w:eastAsia="宋体" w:hAnsi="宋体" w:hint="eastAsia"/>
          <w:color w:val="000000" w:themeColor="text1"/>
          <w:sz w:val="24"/>
          <w:szCs w:val="21"/>
        </w:rPr>
        <w:t>，并按照内部程序进行书面审批和授权。</w:t>
      </w:r>
    </w:p>
    <w:p w:rsidR="00863928" w:rsidRDefault="00863928" w:rsidP="00863928">
      <w:pPr>
        <w:spacing w:after="240" w:line="360" w:lineRule="auto"/>
        <w:rPr>
          <w:rFonts w:ascii="宋体" w:eastAsia="宋体" w:hAnsi="宋体"/>
          <w:color w:val="000000" w:themeColor="text1"/>
          <w:sz w:val="24"/>
          <w:szCs w:val="21"/>
        </w:rPr>
      </w:pPr>
      <w:r w:rsidRPr="00FC5F19">
        <w:rPr>
          <w:rFonts w:ascii="宋体" w:eastAsia="宋体" w:hAnsi="宋体" w:hint="eastAsia"/>
          <w:b/>
          <w:color w:val="000000" w:themeColor="text1"/>
          <w:sz w:val="24"/>
          <w:szCs w:val="21"/>
        </w:rPr>
        <w:lastRenderedPageBreak/>
        <w:t>第</w:t>
      </w:r>
      <w:r>
        <w:rPr>
          <w:rFonts w:ascii="宋体" w:eastAsia="宋体" w:hAnsi="宋体" w:hint="eastAsia"/>
          <w:b/>
          <w:color w:val="000000" w:themeColor="text1"/>
          <w:sz w:val="24"/>
          <w:szCs w:val="21"/>
        </w:rPr>
        <w:t>十</w:t>
      </w:r>
      <w:r w:rsidR="006C55F0">
        <w:rPr>
          <w:rFonts w:ascii="宋体" w:eastAsia="宋体" w:hAnsi="宋体" w:hint="eastAsia"/>
          <w:b/>
          <w:color w:val="000000" w:themeColor="text1"/>
          <w:sz w:val="24"/>
          <w:szCs w:val="21"/>
        </w:rPr>
        <w:t>一</w:t>
      </w:r>
      <w:r w:rsidRPr="00FC5F19">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Pr="00863928">
        <w:rPr>
          <w:rFonts w:ascii="宋体" w:eastAsia="宋体" w:hAnsi="宋体" w:hint="eastAsia"/>
          <w:color w:val="000000" w:themeColor="text1"/>
          <w:sz w:val="24"/>
          <w:szCs w:val="21"/>
        </w:rPr>
        <w:t>保险机构</w:t>
      </w:r>
      <w:r>
        <w:rPr>
          <w:rFonts w:ascii="宋体" w:eastAsia="宋体" w:hAnsi="宋体" w:hint="eastAsia"/>
          <w:color w:val="000000" w:themeColor="text1"/>
          <w:sz w:val="24"/>
          <w:szCs w:val="21"/>
        </w:rPr>
        <w:t>开展股票及股票型基金投资，包括</w:t>
      </w:r>
      <w:r w:rsidRPr="00863928">
        <w:rPr>
          <w:rFonts w:ascii="宋体" w:eastAsia="宋体" w:hAnsi="宋体" w:hint="eastAsia"/>
          <w:color w:val="000000" w:themeColor="text1"/>
          <w:sz w:val="24"/>
          <w:szCs w:val="21"/>
        </w:rPr>
        <w:t>新股战略配售</w:t>
      </w:r>
      <w:r>
        <w:rPr>
          <w:rFonts w:ascii="宋体" w:eastAsia="宋体" w:hAnsi="宋体" w:hint="eastAsia"/>
          <w:color w:val="000000" w:themeColor="text1"/>
          <w:sz w:val="24"/>
          <w:szCs w:val="21"/>
        </w:rPr>
        <w:t>、非公开增发、战略股票配售等投资前，应当对拟投资的权益资产的</w:t>
      </w:r>
      <w:r w:rsidRPr="00863928">
        <w:rPr>
          <w:rFonts w:ascii="宋体" w:eastAsia="宋体" w:hAnsi="宋体" w:hint="eastAsia"/>
          <w:color w:val="000000" w:themeColor="text1"/>
          <w:sz w:val="24"/>
          <w:szCs w:val="21"/>
        </w:rPr>
        <w:t>基本面情况、行业情况、公司情况、财务状况</w:t>
      </w:r>
      <w:r>
        <w:rPr>
          <w:rFonts w:ascii="宋体" w:eastAsia="宋体" w:hAnsi="宋体" w:hint="eastAsia"/>
          <w:color w:val="000000" w:themeColor="text1"/>
          <w:sz w:val="24"/>
          <w:szCs w:val="21"/>
        </w:rPr>
        <w:t>等方面开展投资研究，并形成正式的投资研究报告。</w:t>
      </w:r>
    </w:p>
    <w:p w:rsidR="0075211E" w:rsidRDefault="005C15B7" w:rsidP="0075211E">
      <w:pPr>
        <w:spacing w:after="240" w:line="360" w:lineRule="auto"/>
        <w:rPr>
          <w:rFonts w:ascii="宋体" w:eastAsia="宋体" w:hAnsi="宋体"/>
          <w:color w:val="000000" w:themeColor="text1"/>
          <w:sz w:val="24"/>
          <w:szCs w:val="21"/>
        </w:rPr>
      </w:pPr>
      <w:r w:rsidRPr="00FC5F19">
        <w:rPr>
          <w:rFonts w:ascii="宋体" w:eastAsia="宋体" w:hAnsi="宋体" w:hint="eastAsia"/>
          <w:b/>
          <w:color w:val="000000" w:themeColor="text1"/>
          <w:sz w:val="24"/>
          <w:szCs w:val="21"/>
        </w:rPr>
        <w:t>第</w:t>
      </w:r>
      <w:r>
        <w:rPr>
          <w:rFonts w:ascii="宋体" w:eastAsia="宋体" w:hAnsi="宋体" w:hint="eastAsia"/>
          <w:b/>
          <w:color w:val="000000" w:themeColor="text1"/>
          <w:sz w:val="24"/>
          <w:szCs w:val="21"/>
        </w:rPr>
        <w:t>十</w:t>
      </w:r>
      <w:r w:rsidR="006C55F0">
        <w:rPr>
          <w:rFonts w:ascii="宋体" w:eastAsia="宋体" w:hAnsi="宋体" w:hint="eastAsia"/>
          <w:b/>
          <w:color w:val="000000" w:themeColor="text1"/>
          <w:sz w:val="24"/>
          <w:szCs w:val="21"/>
        </w:rPr>
        <w:t>二</w:t>
      </w:r>
      <w:r w:rsidRPr="00FC5F19">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Pr>
          <w:rFonts w:ascii="宋体" w:eastAsia="宋体" w:hAnsi="宋体" w:hint="eastAsia"/>
          <w:color w:val="000000" w:themeColor="text1"/>
          <w:sz w:val="24"/>
          <w:szCs w:val="21"/>
        </w:rPr>
        <w:t>保险机构应加强权益</w:t>
      </w:r>
      <w:r w:rsidRPr="005F2999">
        <w:rPr>
          <w:rFonts w:ascii="宋体" w:eastAsia="宋体" w:hAnsi="宋体" w:hint="eastAsia"/>
          <w:color w:val="000000" w:themeColor="text1"/>
          <w:sz w:val="24"/>
          <w:szCs w:val="21"/>
        </w:rPr>
        <w:t>投资的市场风险管理，</w:t>
      </w:r>
      <w:r w:rsidRPr="005C15B7">
        <w:rPr>
          <w:rFonts w:ascii="宋体" w:eastAsia="宋体" w:hAnsi="宋体" w:hint="eastAsia"/>
          <w:color w:val="000000" w:themeColor="text1"/>
          <w:sz w:val="24"/>
          <w:szCs w:val="21"/>
        </w:rPr>
        <w:t>运用在险价值（</w:t>
      </w:r>
      <w:r w:rsidRPr="005C15B7">
        <w:rPr>
          <w:rFonts w:ascii="宋体" w:eastAsia="宋体" w:hAnsi="宋体"/>
          <w:color w:val="000000" w:themeColor="text1"/>
          <w:sz w:val="24"/>
          <w:szCs w:val="21"/>
        </w:rPr>
        <w:t>VAR</w:t>
      </w:r>
      <w:r w:rsidRPr="005C15B7">
        <w:rPr>
          <w:rFonts w:ascii="宋体" w:eastAsia="宋体" w:hAnsi="宋体" w:hint="eastAsia"/>
          <w:color w:val="000000" w:themeColor="text1"/>
          <w:sz w:val="24"/>
          <w:szCs w:val="21"/>
        </w:rPr>
        <w:t>）等量化分析手段，分析</w:t>
      </w:r>
      <w:r w:rsidR="0075211E">
        <w:rPr>
          <w:rFonts w:ascii="宋体" w:eastAsia="宋体" w:hAnsi="宋体" w:hint="eastAsia"/>
          <w:color w:val="000000" w:themeColor="text1"/>
          <w:sz w:val="24"/>
          <w:szCs w:val="21"/>
        </w:rPr>
        <w:t>权益投资的价值波动及</w:t>
      </w:r>
      <w:r w:rsidRPr="005C15B7">
        <w:rPr>
          <w:rFonts w:ascii="宋体" w:eastAsia="宋体" w:hAnsi="宋体" w:hint="eastAsia"/>
          <w:color w:val="000000" w:themeColor="text1"/>
          <w:sz w:val="24"/>
          <w:szCs w:val="21"/>
        </w:rPr>
        <w:t>风险暴露</w:t>
      </w:r>
      <w:r w:rsidR="0075211E">
        <w:rPr>
          <w:rFonts w:ascii="宋体" w:eastAsia="宋体" w:hAnsi="宋体" w:hint="eastAsia"/>
          <w:color w:val="000000" w:themeColor="text1"/>
          <w:sz w:val="24"/>
          <w:szCs w:val="21"/>
        </w:rPr>
        <w:t>，并</w:t>
      </w:r>
      <w:r w:rsidRPr="005F2999">
        <w:rPr>
          <w:rFonts w:ascii="宋体" w:eastAsia="宋体" w:hAnsi="宋体" w:hint="eastAsia"/>
          <w:color w:val="000000" w:themeColor="text1"/>
          <w:sz w:val="24"/>
          <w:szCs w:val="21"/>
        </w:rPr>
        <w:t>定期开展压力测试与情景分析，根据测试结果</w:t>
      </w:r>
      <w:r>
        <w:rPr>
          <w:rFonts w:ascii="宋体" w:eastAsia="宋体" w:hAnsi="宋体" w:hint="eastAsia"/>
          <w:color w:val="000000" w:themeColor="text1"/>
          <w:sz w:val="24"/>
          <w:szCs w:val="21"/>
        </w:rPr>
        <w:t>对偿付能力、资产负债管理影响</w:t>
      </w:r>
      <w:r w:rsidRPr="005F2999">
        <w:rPr>
          <w:rFonts w:ascii="宋体" w:eastAsia="宋体" w:hAnsi="宋体" w:hint="eastAsia"/>
          <w:color w:val="000000" w:themeColor="text1"/>
          <w:sz w:val="24"/>
          <w:szCs w:val="21"/>
        </w:rPr>
        <w:t>适度调整投资策略</w:t>
      </w:r>
      <w:r w:rsidRPr="005F2999">
        <w:rPr>
          <w:rFonts w:ascii="宋体" w:eastAsia="宋体" w:hAnsi="宋体"/>
          <w:color w:val="000000" w:themeColor="text1"/>
          <w:sz w:val="24"/>
          <w:szCs w:val="21"/>
        </w:rPr>
        <w:t>。</w:t>
      </w:r>
    </w:p>
    <w:p w:rsidR="0075211E" w:rsidRPr="0075211E" w:rsidRDefault="0075211E" w:rsidP="0075211E">
      <w:pPr>
        <w:spacing w:after="240" w:line="360" w:lineRule="auto"/>
        <w:rPr>
          <w:rFonts w:ascii="宋体" w:eastAsia="宋体" w:hAnsi="宋体"/>
          <w:color w:val="000000" w:themeColor="text1"/>
          <w:sz w:val="24"/>
          <w:szCs w:val="21"/>
        </w:rPr>
      </w:pPr>
      <w:r w:rsidRPr="0075211E">
        <w:rPr>
          <w:rFonts w:ascii="宋体" w:eastAsia="宋体" w:hAnsi="宋体" w:hint="eastAsia"/>
          <w:color w:val="000000" w:themeColor="text1"/>
          <w:sz w:val="24"/>
          <w:szCs w:val="21"/>
        </w:rPr>
        <w:t>保险机构</w:t>
      </w:r>
      <w:r>
        <w:rPr>
          <w:rFonts w:ascii="宋体" w:eastAsia="宋体" w:hAnsi="宋体" w:hint="eastAsia"/>
          <w:color w:val="000000" w:themeColor="text1"/>
          <w:sz w:val="24"/>
          <w:szCs w:val="21"/>
        </w:rPr>
        <w:t>应当针对权益投资</w:t>
      </w:r>
      <w:r w:rsidRPr="0075211E">
        <w:rPr>
          <w:rFonts w:ascii="宋体" w:eastAsia="宋体" w:hAnsi="宋体" w:hint="eastAsia"/>
          <w:color w:val="000000" w:themeColor="text1"/>
          <w:sz w:val="24"/>
          <w:szCs w:val="21"/>
        </w:rPr>
        <w:t>设置行业和</w:t>
      </w:r>
      <w:r>
        <w:rPr>
          <w:rFonts w:ascii="宋体" w:eastAsia="宋体" w:hAnsi="宋体" w:hint="eastAsia"/>
          <w:color w:val="000000" w:themeColor="text1"/>
          <w:sz w:val="24"/>
          <w:szCs w:val="21"/>
        </w:rPr>
        <w:t>个别证券的</w:t>
      </w:r>
      <w:r w:rsidRPr="0075211E">
        <w:rPr>
          <w:rFonts w:ascii="宋体" w:eastAsia="宋体" w:hAnsi="宋体" w:hint="eastAsia"/>
          <w:color w:val="000000" w:themeColor="text1"/>
          <w:sz w:val="24"/>
          <w:szCs w:val="21"/>
        </w:rPr>
        <w:t>集中度指标，规范参与股票申购、增发、配售等行为，防止出现集中风险及锁定期限</w:t>
      </w:r>
      <w:r>
        <w:rPr>
          <w:rFonts w:ascii="宋体" w:eastAsia="宋体" w:hAnsi="宋体" w:hint="eastAsia"/>
          <w:color w:val="000000" w:themeColor="text1"/>
          <w:sz w:val="24"/>
          <w:szCs w:val="21"/>
        </w:rPr>
        <w:t>带来的流动性</w:t>
      </w:r>
      <w:r w:rsidRPr="0075211E">
        <w:rPr>
          <w:rFonts w:ascii="宋体" w:eastAsia="宋体" w:hAnsi="宋体" w:hint="eastAsia"/>
          <w:color w:val="000000" w:themeColor="text1"/>
          <w:sz w:val="24"/>
          <w:szCs w:val="21"/>
        </w:rPr>
        <w:t>风险</w:t>
      </w:r>
      <w:r w:rsidRPr="0075211E">
        <w:rPr>
          <w:rFonts w:ascii="宋体" w:eastAsia="宋体" w:hAnsi="宋体"/>
          <w:color w:val="000000" w:themeColor="text1"/>
          <w:sz w:val="24"/>
          <w:szCs w:val="21"/>
        </w:rPr>
        <w:t>。</w:t>
      </w:r>
    </w:p>
    <w:p w:rsidR="005C15B7" w:rsidRDefault="005C15B7" w:rsidP="005C15B7">
      <w:pPr>
        <w:spacing w:after="240" w:line="360" w:lineRule="auto"/>
        <w:rPr>
          <w:rFonts w:ascii="宋体" w:eastAsia="宋体" w:hAnsi="宋体"/>
          <w:color w:val="000000" w:themeColor="text1"/>
          <w:sz w:val="24"/>
          <w:szCs w:val="21"/>
        </w:rPr>
      </w:pPr>
      <w:r w:rsidRPr="00FC5F19">
        <w:rPr>
          <w:rFonts w:ascii="宋体" w:eastAsia="宋体" w:hAnsi="宋体" w:hint="eastAsia"/>
          <w:b/>
          <w:color w:val="000000" w:themeColor="text1"/>
          <w:sz w:val="24"/>
          <w:szCs w:val="21"/>
        </w:rPr>
        <w:t>第</w:t>
      </w:r>
      <w:r>
        <w:rPr>
          <w:rFonts w:ascii="宋体" w:eastAsia="宋体" w:hAnsi="宋体" w:hint="eastAsia"/>
          <w:b/>
          <w:color w:val="000000" w:themeColor="text1"/>
          <w:sz w:val="24"/>
          <w:szCs w:val="21"/>
        </w:rPr>
        <w:t>十</w:t>
      </w:r>
      <w:r w:rsidR="006C55F0">
        <w:rPr>
          <w:rFonts w:ascii="宋体" w:eastAsia="宋体" w:hAnsi="宋体" w:hint="eastAsia"/>
          <w:b/>
          <w:color w:val="000000" w:themeColor="text1"/>
          <w:sz w:val="24"/>
          <w:szCs w:val="21"/>
        </w:rPr>
        <w:t>三</w:t>
      </w:r>
      <w:r w:rsidRPr="00FC5F19">
        <w:rPr>
          <w:rFonts w:ascii="宋体" w:eastAsia="宋体" w:hAnsi="宋体" w:hint="eastAsia"/>
          <w:b/>
          <w:color w:val="000000" w:themeColor="text1"/>
          <w:sz w:val="24"/>
          <w:szCs w:val="21"/>
        </w:rPr>
        <w:t>条</w:t>
      </w:r>
      <w:r>
        <w:rPr>
          <w:rFonts w:ascii="宋体" w:eastAsia="宋体" w:hAnsi="宋体" w:hint="eastAsia"/>
          <w:color w:val="000000" w:themeColor="text1"/>
          <w:sz w:val="24"/>
          <w:szCs w:val="21"/>
        </w:rPr>
        <w:t xml:space="preserve"> 股票及股票型基金投资决议应按照公司投资决策和授权制度进行审议，决策人员应充分了解投资研究报告及上市公司相关信息。</w:t>
      </w:r>
      <w:r w:rsidR="001A3079" w:rsidRPr="001A3079">
        <w:rPr>
          <w:rFonts w:ascii="宋体" w:eastAsia="宋体" w:hAnsi="宋体" w:hint="eastAsia"/>
          <w:color w:val="000000" w:themeColor="text1"/>
          <w:sz w:val="24"/>
          <w:szCs w:val="21"/>
        </w:rPr>
        <w:t>权益投资决议应符合监管机构规定及公司投资指引，有效评估及把控相关风险，确保投资决策过程的专业性及审慎性。</w:t>
      </w:r>
    </w:p>
    <w:p w:rsidR="00CD0EDE" w:rsidRDefault="00AD0D30" w:rsidP="00A10E73">
      <w:pPr>
        <w:pStyle w:val="1"/>
        <w:spacing w:before="0" w:afterLines="50" w:line="360" w:lineRule="auto"/>
        <w:jc w:val="center"/>
        <w:rPr>
          <w:rFonts w:ascii="宋体" w:eastAsia="宋体" w:hAnsi="宋体"/>
          <w:color w:val="000000" w:themeColor="text1"/>
          <w:szCs w:val="21"/>
        </w:rPr>
      </w:pPr>
      <w:bookmarkStart w:id="4" w:name="_Toc408578703"/>
      <w:r>
        <w:rPr>
          <w:rFonts w:ascii="宋体" w:eastAsia="宋体" w:hAnsi="宋体" w:hint="eastAsia"/>
          <w:color w:val="000000" w:themeColor="text1"/>
          <w:szCs w:val="21"/>
        </w:rPr>
        <w:t>第四节</w:t>
      </w:r>
      <w:r w:rsidR="00CD0EDE" w:rsidRPr="00CD0EDE">
        <w:rPr>
          <w:rFonts w:ascii="宋体" w:eastAsia="宋体" w:hAnsi="宋体" w:hint="eastAsia"/>
          <w:color w:val="000000" w:themeColor="text1"/>
          <w:szCs w:val="21"/>
        </w:rPr>
        <w:t xml:space="preserve"> 投资执行控制</w:t>
      </w:r>
      <w:bookmarkEnd w:id="4"/>
    </w:p>
    <w:p w:rsidR="00CD0EDE" w:rsidRPr="00307F17" w:rsidRDefault="00CD0EDE" w:rsidP="00CD0EDE">
      <w:pPr>
        <w:spacing w:after="240" w:line="360" w:lineRule="auto"/>
        <w:rPr>
          <w:rFonts w:ascii="宋体" w:eastAsia="宋体" w:hAnsi="宋体"/>
          <w:color w:val="000000" w:themeColor="text1"/>
          <w:sz w:val="24"/>
          <w:szCs w:val="21"/>
        </w:rPr>
      </w:pPr>
      <w:r>
        <w:rPr>
          <w:rFonts w:ascii="宋体" w:eastAsia="宋体" w:hAnsi="宋体" w:hint="eastAsia"/>
          <w:b/>
          <w:color w:val="000000" w:themeColor="text1"/>
          <w:sz w:val="24"/>
          <w:szCs w:val="21"/>
        </w:rPr>
        <w:t>第</w:t>
      </w:r>
      <w:r w:rsidR="00C15B0B">
        <w:rPr>
          <w:rFonts w:ascii="宋体" w:eastAsia="宋体" w:hAnsi="宋体" w:hint="eastAsia"/>
          <w:b/>
          <w:color w:val="000000" w:themeColor="text1"/>
          <w:sz w:val="24"/>
          <w:szCs w:val="21"/>
        </w:rPr>
        <w:t>十</w:t>
      </w:r>
      <w:r w:rsidR="006C55F0">
        <w:rPr>
          <w:rFonts w:ascii="宋体" w:eastAsia="宋体" w:hAnsi="宋体" w:hint="eastAsia"/>
          <w:b/>
          <w:color w:val="000000" w:themeColor="text1"/>
          <w:sz w:val="24"/>
          <w:szCs w:val="21"/>
        </w:rPr>
        <w:t>四</w:t>
      </w:r>
      <w:r>
        <w:rPr>
          <w:rFonts w:ascii="宋体" w:eastAsia="宋体" w:hAnsi="宋体" w:hint="eastAsia"/>
          <w:b/>
          <w:color w:val="000000" w:themeColor="text1"/>
          <w:sz w:val="24"/>
          <w:szCs w:val="21"/>
        </w:rPr>
        <w:t xml:space="preserve">条 </w:t>
      </w:r>
      <w:r w:rsidRPr="00307F17">
        <w:rPr>
          <w:rFonts w:ascii="宋体" w:eastAsia="宋体" w:hAnsi="宋体"/>
          <w:color w:val="000000" w:themeColor="text1"/>
          <w:sz w:val="24"/>
          <w:szCs w:val="21"/>
        </w:rPr>
        <w:t>投资指令应当进行审核，确认其合法、合规与完整后方可执行</w:t>
      </w:r>
      <w:r w:rsidRPr="00307F17">
        <w:rPr>
          <w:rFonts w:ascii="宋体" w:eastAsia="宋体" w:hAnsi="宋体" w:hint="eastAsia"/>
          <w:color w:val="000000" w:themeColor="text1"/>
          <w:sz w:val="24"/>
          <w:szCs w:val="21"/>
        </w:rPr>
        <w:t>。</w:t>
      </w:r>
      <w:r w:rsidR="005C15B7">
        <w:rPr>
          <w:rFonts w:ascii="宋体" w:eastAsia="宋体" w:hAnsi="宋体" w:hint="eastAsia"/>
          <w:color w:val="000000" w:themeColor="text1"/>
          <w:sz w:val="24"/>
          <w:szCs w:val="21"/>
        </w:rPr>
        <w:t>股票及股票型基金</w:t>
      </w:r>
      <w:r w:rsidR="0066367C">
        <w:rPr>
          <w:rFonts w:ascii="宋体" w:eastAsia="宋体" w:hAnsi="宋体" w:hint="eastAsia"/>
          <w:color w:val="000000" w:themeColor="text1"/>
          <w:sz w:val="24"/>
          <w:szCs w:val="21"/>
        </w:rPr>
        <w:t>投资的</w:t>
      </w:r>
      <w:r w:rsidRPr="00307F17">
        <w:rPr>
          <w:rFonts w:ascii="宋体" w:eastAsia="宋体" w:hAnsi="宋体" w:hint="eastAsia"/>
          <w:color w:val="000000" w:themeColor="text1"/>
          <w:sz w:val="24"/>
          <w:szCs w:val="21"/>
        </w:rPr>
        <w:t>执行，应当建立全面的集中交易管理体系，包括但不限于：</w:t>
      </w:r>
    </w:p>
    <w:p w:rsidR="00CD0EDE" w:rsidRDefault="007C235E" w:rsidP="0075211E">
      <w:pPr>
        <w:pStyle w:val="a8"/>
        <w:numPr>
          <w:ilvl w:val="0"/>
          <w:numId w:val="20"/>
        </w:numPr>
        <w:spacing w:after="240" w:line="360" w:lineRule="auto"/>
        <w:rPr>
          <w:rFonts w:ascii="宋体" w:hAnsi="宋体"/>
          <w:color w:val="000000" w:themeColor="text1"/>
          <w:szCs w:val="21"/>
        </w:rPr>
      </w:pPr>
      <w:r>
        <w:rPr>
          <w:rFonts w:ascii="宋体" w:hAnsi="宋体" w:hint="eastAsia"/>
          <w:color w:val="000000" w:themeColor="text1"/>
          <w:szCs w:val="21"/>
        </w:rPr>
        <w:t>实行集中交易制度，严格隔离投资决策与交易执行。</w:t>
      </w:r>
    </w:p>
    <w:p w:rsidR="0075211E" w:rsidRDefault="0075211E" w:rsidP="0075211E">
      <w:pPr>
        <w:pStyle w:val="a8"/>
        <w:numPr>
          <w:ilvl w:val="0"/>
          <w:numId w:val="20"/>
        </w:numPr>
        <w:spacing w:after="240" w:line="360" w:lineRule="auto"/>
        <w:rPr>
          <w:rFonts w:ascii="宋体" w:hAnsi="宋体"/>
          <w:color w:val="000000" w:themeColor="text1"/>
          <w:szCs w:val="21"/>
        </w:rPr>
      </w:pPr>
      <w:r>
        <w:rPr>
          <w:rFonts w:ascii="宋体" w:hAnsi="宋体" w:hint="eastAsia"/>
          <w:color w:val="000000" w:themeColor="text1"/>
          <w:szCs w:val="21"/>
        </w:rPr>
        <w:t>交易指令的接收人员必须具有相应权益投资的</w:t>
      </w:r>
      <w:r w:rsidR="00C90742">
        <w:rPr>
          <w:rFonts w:ascii="宋体" w:hAnsi="宋体" w:hint="eastAsia"/>
          <w:color w:val="000000" w:themeColor="text1"/>
          <w:szCs w:val="21"/>
        </w:rPr>
        <w:t>交易</w:t>
      </w:r>
      <w:r>
        <w:rPr>
          <w:rFonts w:ascii="宋体" w:hAnsi="宋体" w:hint="eastAsia"/>
          <w:color w:val="000000" w:themeColor="text1"/>
          <w:szCs w:val="21"/>
        </w:rPr>
        <w:t>权限；</w:t>
      </w:r>
    </w:p>
    <w:p w:rsidR="0075211E" w:rsidRDefault="00CD0EDE" w:rsidP="0075211E">
      <w:pPr>
        <w:pStyle w:val="a8"/>
        <w:numPr>
          <w:ilvl w:val="0"/>
          <w:numId w:val="20"/>
        </w:numPr>
        <w:spacing w:after="240" w:line="360" w:lineRule="auto"/>
        <w:rPr>
          <w:rFonts w:ascii="宋体" w:hAnsi="宋体"/>
          <w:color w:val="000000" w:themeColor="text1"/>
          <w:szCs w:val="21"/>
        </w:rPr>
      </w:pPr>
      <w:r w:rsidRPr="0075211E">
        <w:rPr>
          <w:rFonts w:ascii="宋体" w:hAnsi="宋体" w:hint="eastAsia"/>
          <w:color w:val="000000" w:themeColor="text1"/>
          <w:szCs w:val="21"/>
        </w:rPr>
        <w:t>设立集中交易室，实行门禁管理，未经批准其他人不得随意进入。安装集中交易监测系统、预警系统和反馈系统，对交易室固定电话、网络通信等实施交易时间内监控，交易机设置交易密码并定期更换，以隔离投</w:t>
      </w:r>
      <w:r w:rsidR="0075211E">
        <w:rPr>
          <w:rFonts w:ascii="宋体" w:hAnsi="宋体" w:hint="eastAsia"/>
          <w:color w:val="000000" w:themeColor="text1"/>
          <w:szCs w:val="21"/>
        </w:rPr>
        <w:t>资决策与执行；</w:t>
      </w:r>
    </w:p>
    <w:p w:rsidR="00CD0EDE" w:rsidRPr="0075211E" w:rsidRDefault="00CD0EDE" w:rsidP="0075211E">
      <w:pPr>
        <w:pStyle w:val="a8"/>
        <w:numPr>
          <w:ilvl w:val="0"/>
          <w:numId w:val="20"/>
        </w:numPr>
        <w:spacing w:after="240" w:line="360" w:lineRule="auto"/>
        <w:rPr>
          <w:rFonts w:ascii="宋体" w:hAnsi="宋体"/>
          <w:color w:val="000000" w:themeColor="text1"/>
          <w:szCs w:val="21"/>
        </w:rPr>
      </w:pPr>
      <w:r w:rsidRPr="0075211E">
        <w:rPr>
          <w:rFonts w:ascii="宋体" w:hAnsi="宋体" w:hint="eastAsia"/>
          <w:color w:val="000000" w:themeColor="text1"/>
          <w:szCs w:val="21"/>
        </w:rPr>
        <w:t>对交易员建立有效的监督和制约机制，密切监控交易过程中的谈判、询价等关键环节，交易员不得将与投资相关资料带出交易室。</w:t>
      </w:r>
    </w:p>
    <w:p w:rsidR="00F7424F" w:rsidRDefault="0075211E" w:rsidP="00F7424F">
      <w:pPr>
        <w:spacing w:after="240" w:line="360" w:lineRule="auto"/>
        <w:rPr>
          <w:rFonts w:ascii="宋体" w:eastAsia="宋体" w:hAnsi="宋体"/>
          <w:color w:val="000000" w:themeColor="text1"/>
          <w:sz w:val="24"/>
          <w:szCs w:val="21"/>
        </w:rPr>
      </w:pPr>
      <w:r>
        <w:rPr>
          <w:rFonts w:ascii="宋体" w:eastAsia="宋体" w:hAnsi="宋体" w:hint="eastAsia"/>
          <w:b/>
          <w:color w:val="000000" w:themeColor="text1"/>
          <w:sz w:val="24"/>
          <w:szCs w:val="21"/>
        </w:rPr>
        <w:t>第十</w:t>
      </w:r>
      <w:r w:rsidR="006C55F0">
        <w:rPr>
          <w:rFonts w:ascii="宋体" w:eastAsia="宋体" w:hAnsi="宋体" w:hint="eastAsia"/>
          <w:b/>
          <w:color w:val="000000" w:themeColor="text1"/>
          <w:sz w:val="24"/>
          <w:szCs w:val="21"/>
        </w:rPr>
        <w:t>五</w:t>
      </w:r>
      <w:r>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00FE5A38">
        <w:rPr>
          <w:rFonts w:ascii="宋体" w:eastAsia="宋体" w:hAnsi="宋体" w:hint="eastAsia"/>
          <w:color w:val="000000" w:themeColor="text1"/>
          <w:sz w:val="24"/>
          <w:szCs w:val="21"/>
        </w:rPr>
        <w:t>投资指令都应通过公司内部</w:t>
      </w:r>
      <w:r w:rsidR="00FE5A38" w:rsidRPr="0066367C">
        <w:rPr>
          <w:rFonts w:ascii="宋体" w:eastAsia="宋体" w:hAnsi="宋体" w:hint="eastAsia"/>
          <w:color w:val="000000" w:themeColor="text1"/>
          <w:sz w:val="24"/>
          <w:szCs w:val="21"/>
        </w:rPr>
        <w:t>统一的投资交易管理系统</w:t>
      </w:r>
      <w:r w:rsidR="00FE5A38">
        <w:rPr>
          <w:rFonts w:ascii="宋体" w:eastAsia="宋体" w:hAnsi="宋体" w:hint="eastAsia"/>
          <w:color w:val="000000" w:themeColor="text1"/>
          <w:sz w:val="24"/>
          <w:szCs w:val="21"/>
        </w:rPr>
        <w:t>进行下达</w:t>
      </w:r>
      <w:r w:rsidR="00FE5A38" w:rsidRPr="0066367C">
        <w:rPr>
          <w:rFonts w:ascii="宋体" w:eastAsia="宋体" w:hAnsi="宋体" w:hint="eastAsia"/>
          <w:color w:val="000000" w:themeColor="text1"/>
          <w:sz w:val="24"/>
          <w:szCs w:val="21"/>
        </w:rPr>
        <w:t>，</w:t>
      </w:r>
      <w:r w:rsidR="00FE5A38">
        <w:rPr>
          <w:rFonts w:ascii="宋体" w:eastAsia="宋体" w:hAnsi="宋体" w:hint="eastAsia"/>
          <w:color w:val="000000" w:themeColor="text1"/>
          <w:sz w:val="24"/>
          <w:szCs w:val="21"/>
        </w:rPr>
        <w:t>且经过系统风险控制规则的检查和指令复核操作。对需要采用人工方面下达的指令，</w:t>
      </w:r>
      <w:r w:rsidR="00FE5A38">
        <w:rPr>
          <w:rFonts w:ascii="宋体" w:eastAsia="宋体" w:hAnsi="宋体" w:hint="eastAsia"/>
          <w:color w:val="000000" w:themeColor="text1"/>
          <w:sz w:val="24"/>
          <w:szCs w:val="21"/>
        </w:rPr>
        <w:lastRenderedPageBreak/>
        <w:t>复核人应确保按照相关检查要求和公司内部的规则对指令进行复核，并保留书面的复核记录，</w:t>
      </w:r>
      <w:r>
        <w:rPr>
          <w:rFonts w:ascii="宋体" w:eastAsia="宋体" w:hAnsi="宋体" w:hint="eastAsia"/>
          <w:color w:val="000000" w:themeColor="text1"/>
          <w:sz w:val="24"/>
          <w:szCs w:val="21"/>
        </w:rPr>
        <w:t>超额度投资指令应获取</w:t>
      </w:r>
      <w:r w:rsidR="00FE5A38">
        <w:rPr>
          <w:rFonts w:ascii="宋体" w:eastAsia="宋体" w:hAnsi="宋体" w:hint="eastAsia"/>
          <w:color w:val="000000" w:themeColor="text1"/>
          <w:sz w:val="24"/>
          <w:szCs w:val="21"/>
        </w:rPr>
        <w:t>相应额度授权人的书面审批和授权。</w:t>
      </w:r>
    </w:p>
    <w:p w:rsidR="00D77ACF" w:rsidRPr="00F7424F" w:rsidRDefault="00F7424F" w:rsidP="00F7424F">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t>保险机构应明确放弃配售、指令撤回等交易指令放弃执行情况的审批授权机制。</w:t>
      </w:r>
    </w:p>
    <w:p w:rsidR="00F7424F" w:rsidRDefault="00F7424F" w:rsidP="0066367C">
      <w:pPr>
        <w:spacing w:after="240" w:line="360" w:lineRule="auto"/>
        <w:rPr>
          <w:rFonts w:ascii="宋体" w:eastAsia="宋体" w:hAnsi="宋体"/>
          <w:color w:val="000000" w:themeColor="text1"/>
          <w:sz w:val="24"/>
          <w:szCs w:val="21"/>
        </w:rPr>
      </w:pPr>
      <w:r>
        <w:rPr>
          <w:rFonts w:ascii="宋体" w:eastAsia="宋体" w:hAnsi="宋体" w:hint="eastAsia"/>
          <w:b/>
          <w:color w:val="000000" w:themeColor="text1"/>
          <w:sz w:val="24"/>
          <w:szCs w:val="21"/>
        </w:rPr>
        <w:t>第十</w:t>
      </w:r>
      <w:r w:rsidR="006C55F0">
        <w:rPr>
          <w:rFonts w:ascii="宋体" w:eastAsia="宋体" w:hAnsi="宋体" w:hint="eastAsia"/>
          <w:b/>
          <w:color w:val="000000" w:themeColor="text1"/>
          <w:sz w:val="24"/>
          <w:szCs w:val="21"/>
        </w:rPr>
        <w:t>六</w:t>
      </w:r>
      <w:r>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Pr="00F7424F">
        <w:rPr>
          <w:rFonts w:ascii="宋体" w:eastAsia="宋体" w:hAnsi="宋体" w:hint="eastAsia"/>
          <w:color w:val="000000" w:themeColor="text1"/>
          <w:sz w:val="24"/>
          <w:szCs w:val="21"/>
        </w:rPr>
        <w:t>保险机构</w:t>
      </w:r>
      <w:r>
        <w:rPr>
          <w:rFonts w:ascii="宋体" w:eastAsia="宋体" w:hAnsi="宋体" w:hint="eastAsia"/>
          <w:color w:val="000000" w:themeColor="text1"/>
          <w:sz w:val="24"/>
          <w:szCs w:val="21"/>
        </w:rPr>
        <w:t>应当</w:t>
      </w:r>
      <w:r w:rsidR="0066367C" w:rsidRPr="0066367C">
        <w:rPr>
          <w:rFonts w:ascii="宋体" w:eastAsia="宋体" w:hAnsi="宋体" w:hint="eastAsia"/>
          <w:color w:val="000000" w:themeColor="text1"/>
          <w:sz w:val="24"/>
          <w:szCs w:val="21"/>
        </w:rPr>
        <w:t>公平对待受托资金，包括账户设置、研究支持、资源分配、人员管理、系统设置等方面</w:t>
      </w:r>
      <w:r>
        <w:rPr>
          <w:rFonts w:ascii="宋体" w:eastAsia="宋体" w:hAnsi="宋体" w:hint="eastAsia"/>
          <w:color w:val="000000" w:themeColor="text1"/>
          <w:sz w:val="24"/>
          <w:szCs w:val="21"/>
        </w:rPr>
        <w:t>，</w:t>
      </w:r>
      <w:r w:rsidRPr="00F7424F">
        <w:rPr>
          <w:rFonts w:ascii="宋体" w:eastAsia="宋体" w:hAnsi="宋体" w:hint="eastAsia"/>
          <w:color w:val="000000" w:themeColor="text1"/>
          <w:sz w:val="24"/>
          <w:szCs w:val="21"/>
        </w:rPr>
        <w:t>确保各类账户或者投资组合享有研究信息、投资建议和交易执行等公平机会。</w:t>
      </w:r>
      <w:r>
        <w:rPr>
          <w:rFonts w:ascii="宋体" w:eastAsia="宋体" w:hAnsi="宋体" w:hint="eastAsia"/>
          <w:color w:val="000000" w:themeColor="text1"/>
          <w:sz w:val="24"/>
          <w:szCs w:val="21"/>
        </w:rPr>
        <w:t>在</w:t>
      </w:r>
      <w:r w:rsidRPr="0066367C">
        <w:rPr>
          <w:rFonts w:ascii="宋体" w:eastAsia="宋体" w:hAnsi="宋体" w:hint="eastAsia"/>
          <w:color w:val="000000" w:themeColor="text1"/>
          <w:sz w:val="24"/>
          <w:szCs w:val="21"/>
        </w:rPr>
        <w:t>交易系统</w:t>
      </w:r>
      <w:r>
        <w:rPr>
          <w:rFonts w:ascii="宋体" w:eastAsia="宋体" w:hAnsi="宋体" w:hint="eastAsia"/>
          <w:color w:val="000000" w:themeColor="text1"/>
          <w:sz w:val="24"/>
          <w:szCs w:val="21"/>
        </w:rPr>
        <w:t>中应</w:t>
      </w:r>
      <w:r w:rsidRPr="0066367C">
        <w:rPr>
          <w:rFonts w:ascii="宋体" w:eastAsia="宋体" w:hAnsi="宋体" w:hint="eastAsia"/>
          <w:color w:val="000000" w:themeColor="text1"/>
          <w:sz w:val="24"/>
          <w:szCs w:val="21"/>
        </w:rPr>
        <w:t>启用公平交易模块，获取公平交易模块参数设置情况。在交易层级，对不同投资账户的同类投资指令，以时间优先、价格优先、比例分配为公平交易执行原则。</w:t>
      </w:r>
    </w:p>
    <w:p w:rsidR="00F7424F" w:rsidRDefault="00F7424F" w:rsidP="0066367C">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t>保险机构应当根据账户或者组合性质，配备独立的权益</w:t>
      </w:r>
      <w:r w:rsidRPr="00F7424F">
        <w:rPr>
          <w:rFonts w:ascii="宋体" w:eastAsia="宋体" w:hAnsi="宋体" w:hint="eastAsia"/>
          <w:color w:val="000000" w:themeColor="text1"/>
          <w:sz w:val="24"/>
          <w:szCs w:val="21"/>
        </w:rPr>
        <w:t>投资经理，严防账户之间的高位托盘、反向操作等利益输送。</w:t>
      </w:r>
      <w:r w:rsidR="00686B78" w:rsidRPr="00686B78">
        <w:rPr>
          <w:rFonts w:ascii="宋体" w:eastAsia="宋体" w:hAnsi="宋体" w:hint="eastAsia"/>
          <w:color w:val="000000" w:themeColor="text1"/>
          <w:sz w:val="24"/>
          <w:szCs w:val="21"/>
        </w:rPr>
        <w:t>保险机构</w:t>
      </w:r>
      <w:r w:rsidRPr="00686B78">
        <w:rPr>
          <w:rFonts w:ascii="宋体" w:eastAsia="宋体" w:hAnsi="宋体" w:hint="eastAsia"/>
          <w:color w:val="000000" w:themeColor="text1"/>
          <w:sz w:val="24"/>
          <w:szCs w:val="21"/>
        </w:rPr>
        <w:t>应当加强职业道德教育，建立股票投资相关人员及直系亲属的股票账户申报制度，防范操作和道德风险</w:t>
      </w:r>
      <w:r w:rsidRPr="00686B78">
        <w:rPr>
          <w:rFonts w:ascii="宋体" w:eastAsia="宋体" w:hAnsi="宋体"/>
          <w:color w:val="000000" w:themeColor="text1"/>
          <w:sz w:val="24"/>
          <w:szCs w:val="21"/>
        </w:rPr>
        <w:t>。</w:t>
      </w:r>
    </w:p>
    <w:p w:rsidR="00334EBE" w:rsidRDefault="00C15B0B" w:rsidP="00CD0EDE">
      <w:pPr>
        <w:spacing w:after="240" w:line="360" w:lineRule="auto"/>
        <w:rPr>
          <w:rFonts w:ascii="宋体" w:eastAsia="宋体" w:hAnsi="宋体"/>
          <w:color w:val="000000" w:themeColor="text1"/>
          <w:sz w:val="24"/>
          <w:szCs w:val="21"/>
        </w:rPr>
      </w:pPr>
      <w:r w:rsidRPr="00C15B0B">
        <w:rPr>
          <w:rFonts w:ascii="宋体" w:eastAsia="宋体" w:hAnsi="宋体" w:hint="eastAsia"/>
          <w:b/>
          <w:color w:val="000000" w:themeColor="text1"/>
          <w:sz w:val="24"/>
          <w:szCs w:val="21"/>
        </w:rPr>
        <w:t>第</w:t>
      </w:r>
      <w:r w:rsidR="00686B78">
        <w:rPr>
          <w:rFonts w:ascii="宋体" w:eastAsia="宋体" w:hAnsi="宋体" w:hint="eastAsia"/>
          <w:b/>
          <w:color w:val="000000" w:themeColor="text1"/>
          <w:sz w:val="24"/>
          <w:szCs w:val="21"/>
        </w:rPr>
        <w:t>十</w:t>
      </w:r>
      <w:r w:rsidR="006C55F0">
        <w:rPr>
          <w:rFonts w:ascii="宋体" w:eastAsia="宋体" w:hAnsi="宋体" w:hint="eastAsia"/>
          <w:b/>
          <w:color w:val="000000" w:themeColor="text1"/>
          <w:sz w:val="24"/>
          <w:szCs w:val="21"/>
        </w:rPr>
        <w:t>七</w:t>
      </w:r>
      <w:r w:rsidRPr="00C15B0B">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00686B78">
        <w:rPr>
          <w:rFonts w:ascii="宋体" w:eastAsia="宋体" w:hAnsi="宋体" w:hint="eastAsia"/>
          <w:color w:val="000000" w:themeColor="text1"/>
          <w:sz w:val="24"/>
          <w:szCs w:val="21"/>
        </w:rPr>
        <w:t>保险机构</w:t>
      </w:r>
      <w:r w:rsidR="00334EBE" w:rsidRPr="00334EBE">
        <w:rPr>
          <w:rFonts w:ascii="宋体" w:eastAsia="宋体" w:hAnsi="宋体" w:hint="eastAsia"/>
          <w:color w:val="000000" w:themeColor="text1"/>
          <w:sz w:val="24"/>
          <w:szCs w:val="21"/>
        </w:rPr>
        <w:t>在投资过程中使用的相应投资合同由投资部门制作并经过复核，确保投资业务信息与投资决议一致。经过法律及风险部门复核，确保合同条款合规合法，制度化</w:t>
      </w:r>
      <w:r w:rsidR="00783942">
        <w:rPr>
          <w:rFonts w:ascii="宋体" w:eastAsia="宋体" w:hAnsi="宋体" w:hint="eastAsia"/>
          <w:color w:val="000000" w:themeColor="text1"/>
          <w:sz w:val="24"/>
          <w:szCs w:val="21"/>
        </w:rPr>
        <w:t>合同范本的</w:t>
      </w:r>
      <w:r w:rsidR="00667F0C">
        <w:rPr>
          <w:rFonts w:ascii="宋体" w:eastAsia="宋体" w:hAnsi="宋体" w:hint="eastAsia"/>
          <w:color w:val="000000" w:themeColor="text1"/>
          <w:sz w:val="24"/>
          <w:szCs w:val="21"/>
        </w:rPr>
        <w:t>修改</w:t>
      </w:r>
      <w:r w:rsidR="00783942">
        <w:rPr>
          <w:rFonts w:ascii="宋体" w:eastAsia="宋体" w:hAnsi="宋体" w:hint="eastAsia"/>
          <w:color w:val="000000" w:themeColor="text1"/>
          <w:sz w:val="24"/>
          <w:szCs w:val="21"/>
        </w:rPr>
        <w:t>和审批</w:t>
      </w:r>
      <w:r w:rsidR="00667F0C">
        <w:rPr>
          <w:rFonts w:ascii="宋体" w:eastAsia="宋体" w:hAnsi="宋体" w:hint="eastAsia"/>
          <w:color w:val="000000" w:themeColor="text1"/>
          <w:sz w:val="24"/>
          <w:szCs w:val="21"/>
        </w:rPr>
        <w:t>流程。</w:t>
      </w:r>
    </w:p>
    <w:p w:rsidR="00686B78" w:rsidRPr="00686B78" w:rsidRDefault="00844ECC" w:rsidP="00686B78">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t>股票及股票型基金</w:t>
      </w:r>
      <w:r w:rsidR="00686B78">
        <w:rPr>
          <w:rFonts w:ascii="宋体" w:eastAsia="宋体" w:hAnsi="宋体" w:hint="eastAsia"/>
          <w:color w:val="000000" w:themeColor="text1"/>
          <w:sz w:val="24"/>
          <w:szCs w:val="21"/>
        </w:rPr>
        <w:t>的</w:t>
      </w:r>
      <w:r>
        <w:rPr>
          <w:rFonts w:ascii="宋体" w:eastAsia="宋体" w:hAnsi="宋体" w:hint="eastAsia"/>
          <w:color w:val="000000" w:themeColor="text1"/>
          <w:sz w:val="24"/>
          <w:szCs w:val="21"/>
        </w:rPr>
        <w:t>投资</w:t>
      </w:r>
      <w:r w:rsidR="00783942">
        <w:rPr>
          <w:rFonts w:ascii="宋体" w:eastAsia="宋体" w:hAnsi="宋体" w:hint="eastAsia"/>
          <w:color w:val="000000" w:themeColor="text1"/>
          <w:sz w:val="24"/>
          <w:szCs w:val="21"/>
        </w:rPr>
        <w:t>合同</w:t>
      </w:r>
      <w:r w:rsidR="00686B78">
        <w:rPr>
          <w:rFonts w:ascii="宋体" w:eastAsia="宋体" w:hAnsi="宋体" w:hint="eastAsia"/>
          <w:color w:val="000000" w:themeColor="text1"/>
          <w:sz w:val="24"/>
          <w:szCs w:val="21"/>
        </w:rPr>
        <w:t>、新股配售承销合同等文件</w:t>
      </w:r>
      <w:r w:rsidR="00783942">
        <w:rPr>
          <w:rFonts w:ascii="宋体" w:eastAsia="宋体" w:hAnsi="宋体" w:hint="eastAsia"/>
          <w:color w:val="000000" w:themeColor="text1"/>
          <w:sz w:val="24"/>
          <w:szCs w:val="21"/>
        </w:rPr>
        <w:t>的制作需经相关</w:t>
      </w:r>
      <w:r w:rsidR="00686B78">
        <w:rPr>
          <w:rFonts w:ascii="宋体" w:eastAsia="宋体" w:hAnsi="宋体" w:hint="eastAsia"/>
          <w:color w:val="000000" w:themeColor="text1"/>
          <w:sz w:val="24"/>
          <w:szCs w:val="21"/>
        </w:rPr>
        <w:t>部门复核，确保投资业务信息与投资决议一致，合同条款合规合法，并按照监管要求的要求进行上报和报备。</w:t>
      </w:r>
    </w:p>
    <w:p w:rsidR="00CD0EDE" w:rsidRDefault="00686B78" w:rsidP="00CD0EDE">
      <w:pPr>
        <w:spacing w:after="240" w:line="360" w:lineRule="auto"/>
        <w:rPr>
          <w:rFonts w:ascii="宋体" w:eastAsia="宋体" w:hAnsi="宋体"/>
          <w:color w:val="000000" w:themeColor="text1"/>
          <w:sz w:val="24"/>
          <w:szCs w:val="21"/>
        </w:rPr>
      </w:pPr>
      <w:r>
        <w:rPr>
          <w:rFonts w:ascii="宋体" w:eastAsia="宋体" w:hAnsi="宋体" w:hint="eastAsia"/>
          <w:b/>
          <w:color w:val="000000" w:themeColor="text1"/>
          <w:sz w:val="24"/>
          <w:szCs w:val="21"/>
        </w:rPr>
        <w:t>第</w:t>
      </w:r>
      <w:r w:rsidR="006C55F0">
        <w:rPr>
          <w:rFonts w:ascii="宋体" w:eastAsia="宋体" w:hAnsi="宋体" w:hint="eastAsia"/>
          <w:b/>
          <w:color w:val="000000" w:themeColor="text1"/>
          <w:sz w:val="24"/>
          <w:szCs w:val="21"/>
        </w:rPr>
        <w:t>十八</w:t>
      </w:r>
      <w:r w:rsidR="000760BD" w:rsidRPr="000760BD">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00CD0EDE" w:rsidRPr="00307F17">
        <w:rPr>
          <w:rFonts w:ascii="宋体" w:eastAsia="宋体" w:hAnsi="宋体" w:hint="eastAsia"/>
          <w:color w:val="000000" w:themeColor="text1"/>
          <w:sz w:val="24"/>
          <w:szCs w:val="21"/>
        </w:rPr>
        <w:t>交易员应负责办理</w:t>
      </w:r>
      <w:r w:rsidR="00D702EC">
        <w:rPr>
          <w:rFonts w:ascii="宋体" w:eastAsia="宋体" w:hAnsi="宋体" w:hint="eastAsia"/>
          <w:color w:val="000000" w:themeColor="text1"/>
          <w:sz w:val="24"/>
          <w:szCs w:val="21"/>
        </w:rPr>
        <w:t>股票及股票型基金投资</w:t>
      </w:r>
      <w:r w:rsidR="00783942">
        <w:rPr>
          <w:rFonts w:ascii="宋体" w:eastAsia="宋体" w:hAnsi="宋体" w:hint="eastAsia"/>
          <w:color w:val="000000" w:themeColor="text1"/>
          <w:sz w:val="24"/>
          <w:szCs w:val="21"/>
        </w:rPr>
        <w:t>相关合同及协议的</w:t>
      </w:r>
      <w:r w:rsidR="00CD0EDE" w:rsidRPr="00307F17">
        <w:rPr>
          <w:rFonts w:ascii="宋体" w:eastAsia="宋体" w:hAnsi="宋体" w:hint="eastAsia"/>
          <w:color w:val="000000" w:themeColor="text1"/>
          <w:sz w:val="24"/>
          <w:szCs w:val="21"/>
        </w:rPr>
        <w:t>签订和单</w:t>
      </w:r>
      <w:r w:rsidR="00C15B0B">
        <w:rPr>
          <w:rFonts w:ascii="宋体" w:eastAsia="宋体" w:hAnsi="宋体" w:hint="eastAsia"/>
          <w:color w:val="000000" w:themeColor="text1"/>
          <w:sz w:val="24"/>
          <w:szCs w:val="21"/>
        </w:rPr>
        <w:t>证用印手续，</w:t>
      </w:r>
      <w:r w:rsidR="00CA6874">
        <w:rPr>
          <w:rFonts w:ascii="宋体" w:eastAsia="宋体" w:hAnsi="宋体" w:hint="eastAsia"/>
          <w:color w:val="000000" w:themeColor="text1"/>
          <w:sz w:val="24"/>
          <w:szCs w:val="21"/>
        </w:rPr>
        <w:t>严格遵守合同管理相关规定。</w:t>
      </w:r>
    </w:p>
    <w:p w:rsidR="00D77ACF" w:rsidRPr="00686B78" w:rsidRDefault="00C15B0B" w:rsidP="00686B78">
      <w:pPr>
        <w:spacing w:after="240" w:line="360" w:lineRule="auto"/>
        <w:rPr>
          <w:rFonts w:ascii="宋体" w:eastAsia="宋体" w:hAnsi="宋体"/>
          <w:color w:val="000000" w:themeColor="text1"/>
          <w:sz w:val="24"/>
          <w:szCs w:val="21"/>
        </w:rPr>
      </w:pPr>
      <w:r w:rsidRPr="00C15B0B">
        <w:rPr>
          <w:rFonts w:ascii="宋体" w:eastAsia="宋体" w:hAnsi="宋体" w:hint="eastAsia"/>
          <w:b/>
          <w:color w:val="000000" w:themeColor="text1"/>
          <w:sz w:val="24"/>
          <w:szCs w:val="21"/>
        </w:rPr>
        <w:t>第</w:t>
      </w:r>
      <w:r w:rsidR="006C55F0">
        <w:rPr>
          <w:rFonts w:ascii="宋体" w:eastAsia="宋体" w:hAnsi="宋体" w:hint="eastAsia"/>
          <w:b/>
          <w:color w:val="000000" w:themeColor="text1"/>
          <w:sz w:val="24"/>
          <w:szCs w:val="21"/>
        </w:rPr>
        <w:t>十九</w:t>
      </w:r>
      <w:r w:rsidRPr="00C15B0B">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00CD0EDE" w:rsidRPr="00307F17">
        <w:rPr>
          <w:rFonts w:ascii="宋体" w:eastAsia="宋体" w:hAnsi="宋体" w:hint="eastAsia"/>
          <w:color w:val="000000" w:themeColor="text1"/>
          <w:sz w:val="24"/>
          <w:szCs w:val="21"/>
        </w:rPr>
        <w:t>每日交易结束后，交易员应当及时整理交易过程中产生的各类交易单据，定期递交档案管理部门</w:t>
      </w:r>
      <w:r w:rsidR="00C33360">
        <w:rPr>
          <w:rFonts w:ascii="宋体" w:eastAsia="宋体" w:hAnsi="宋体" w:hint="eastAsia"/>
          <w:color w:val="000000" w:themeColor="text1"/>
          <w:sz w:val="24"/>
          <w:szCs w:val="21"/>
        </w:rPr>
        <w:t>及托管行</w:t>
      </w:r>
      <w:r w:rsidR="00D702EC">
        <w:rPr>
          <w:rFonts w:ascii="宋体" w:eastAsia="宋体" w:hAnsi="宋体" w:hint="eastAsia"/>
          <w:color w:val="000000" w:themeColor="text1"/>
          <w:sz w:val="24"/>
          <w:szCs w:val="21"/>
        </w:rPr>
        <w:t>进行归档，以便完整保存投资指令、</w:t>
      </w:r>
      <w:r w:rsidR="00686B78" w:rsidRPr="00686B78">
        <w:rPr>
          <w:rFonts w:ascii="宋体" w:eastAsia="宋体" w:hAnsi="宋体" w:hint="eastAsia"/>
          <w:color w:val="000000" w:themeColor="text1"/>
          <w:sz w:val="24"/>
          <w:szCs w:val="21"/>
        </w:rPr>
        <w:t>新股申购资料</w:t>
      </w:r>
      <w:r w:rsidR="00686B78">
        <w:rPr>
          <w:rFonts w:ascii="宋体" w:eastAsia="宋体" w:hAnsi="宋体" w:hint="eastAsia"/>
          <w:color w:val="000000" w:themeColor="text1"/>
          <w:sz w:val="24"/>
          <w:szCs w:val="21"/>
        </w:rPr>
        <w:t>、投资签报、询价单、</w:t>
      </w:r>
      <w:r w:rsidR="00D702EC">
        <w:rPr>
          <w:rFonts w:ascii="宋体" w:eastAsia="宋体" w:hAnsi="宋体" w:hint="eastAsia"/>
          <w:color w:val="000000" w:themeColor="text1"/>
          <w:sz w:val="24"/>
          <w:szCs w:val="21"/>
        </w:rPr>
        <w:t>银行划款指令</w:t>
      </w:r>
      <w:r w:rsidR="00CD0EDE" w:rsidRPr="00307F17">
        <w:rPr>
          <w:rFonts w:ascii="宋体" w:eastAsia="宋体" w:hAnsi="宋体" w:hint="eastAsia"/>
          <w:color w:val="000000" w:themeColor="text1"/>
          <w:sz w:val="24"/>
          <w:szCs w:val="21"/>
        </w:rPr>
        <w:t>及其他交易文档。</w:t>
      </w:r>
      <w:r w:rsidR="00686B78">
        <w:rPr>
          <w:rFonts w:ascii="宋体" w:eastAsia="宋体" w:hAnsi="宋体" w:hint="eastAsia"/>
          <w:color w:val="000000" w:themeColor="text1"/>
          <w:sz w:val="24"/>
          <w:szCs w:val="21"/>
        </w:rPr>
        <w:t>对于申购数量与交易结果不一致的情况，应及时采取措施与内外部沟通，并及时维护资金头寸，避免对后续交易产生影响。</w:t>
      </w:r>
    </w:p>
    <w:p w:rsidR="00CD0EDE" w:rsidRDefault="00AD0D30" w:rsidP="00A10E73">
      <w:pPr>
        <w:pStyle w:val="1"/>
        <w:spacing w:before="0" w:afterLines="50" w:line="360" w:lineRule="auto"/>
        <w:jc w:val="center"/>
        <w:rPr>
          <w:rFonts w:ascii="宋体" w:eastAsia="宋体" w:hAnsi="宋体"/>
          <w:color w:val="000000" w:themeColor="text1"/>
          <w:sz w:val="24"/>
          <w:szCs w:val="21"/>
        </w:rPr>
      </w:pPr>
      <w:bookmarkStart w:id="5" w:name="_Toc408578704"/>
      <w:r>
        <w:rPr>
          <w:rFonts w:ascii="宋体" w:eastAsia="宋体" w:hAnsi="宋体" w:hint="eastAsia"/>
          <w:color w:val="000000" w:themeColor="text1"/>
          <w:szCs w:val="21"/>
        </w:rPr>
        <w:lastRenderedPageBreak/>
        <w:t>第五节</w:t>
      </w:r>
      <w:r w:rsidR="0061164B">
        <w:rPr>
          <w:rFonts w:ascii="宋体" w:eastAsia="宋体" w:hAnsi="宋体" w:hint="eastAsia"/>
          <w:color w:val="000000" w:themeColor="text1"/>
          <w:szCs w:val="21"/>
        </w:rPr>
        <w:t xml:space="preserve"> </w:t>
      </w:r>
      <w:r w:rsidR="00BF66A8" w:rsidRPr="00BF66A8">
        <w:rPr>
          <w:rFonts w:ascii="宋体" w:eastAsia="宋体" w:hAnsi="宋体" w:hint="eastAsia"/>
          <w:color w:val="000000" w:themeColor="text1"/>
          <w:szCs w:val="21"/>
        </w:rPr>
        <w:t>投资后管理</w:t>
      </w:r>
      <w:bookmarkEnd w:id="5"/>
    </w:p>
    <w:p w:rsidR="006D0897" w:rsidRPr="006D0897" w:rsidRDefault="00686B78" w:rsidP="00CD0EDE">
      <w:pPr>
        <w:spacing w:after="240" w:line="360" w:lineRule="auto"/>
        <w:rPr>
          <w:rFonts w:ascii="宋体" w:eastAsia="宋体" w:hAnsi="宋体"/>
          <w:color w:val="000000" w:themeColor="text1"/>
          <w:sz w:val="24"/>
          <w:szCs w:val="21"/>
        </w:rPr>
      </w:pPr>
      <w:r>
        <w:rPr>
          <w:rFonts w:ascii="宋体" w:eastAsia="宋体" w:hAnsi="宋体" w:hint="eastAsia"/>
          <w:b/>
          <w:color w:val="000000" w:themeColor="text1"/>
          <w:sz w:val="24"/>
          <w:szCs w:val="21"/>
        </w:rPr>
        <w:t>第</w:t>
      </w:r>
      <w:r w:rsidR="006C55F0">
        <w:rPr>
          <w:rFonts w:ascii="宋体" w:eastAsia="宋体" w:hAnsi="宋体" w:hint="eastAsia"/>
          <w:b/>
          <w:color w:val="000000" w:themeColor="text1"/>
          <w:sz w:val="24"/>
          <w:szCs w:val="21"/>
        </w:rPr>
        <w:t>二十</w:t>
      </w:r>
      <w:r w:rsidR="00CD0EDE" w:rsidRPr="000B6B61">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00072A9E">
        <w:rPr>
          <w:rFonts w:ascii="宋体" w:eastAsia="宋体" w:hAnsi="宋体" w:hint="eastAsia"/>
          <w:color w:val="000000" w:themeColor="text1"/>
          <w:sz w:val="24"/>
          <w:szCs w:val="21"/>
        </w:rPr>
        <w:t>保险</w:t>
      </w:r>
      <w:r>
        <w:rPr>
          <w:rFonts w:ascii="宋体" w:eastAsia="宋体" w:hAnsi="宋体" w:hint="eastAsia"/>
          <w:color w:val="000000" w:themeColor="text1"/>
          <w:sz w:val="24"/>
          <w:szCs w:val="21"/>
        </w:rPr>
        <w:t>机构</w:t>
      </w:r>
      <w:r w:rsidR="00072A9E">
        <w:rPr>
          <w:rFonts w:ascii="宋体" w:eastAsia="宋体" w:hAnsi="宋体" w:hint="eastAsia"/>
          <w:color w:val="000000" w:themeColor="text1"/>
          <w:sz w:val="24"/>
          <w:szCs w:val="21"/>
        </w:rPr>
        <w:t>应当持续跟踪</w:t>
      </w:r>
      <w:r w:rsidR="000F148F">
        <w:rPr>
          <w:rFonts w:ascii="宋体" w:eastAsia="宋体" w:hAnsi="宋体" w:hint="eastAsia"/>
          <w:color w:val="000000" w:themeColor="text1"/>
          <w:sz w:val="24"/>
          <w:szCs w:val="21"/>
        </w:rPr>
        <w:t>持仓股票行情及上市公司</w:t>
      </w:r>
      <w:r w:rsidR="00FA7EDB">
        <w:rPr>
          <w:rFonts w:ascii="宋体" w:eastAsia="宋体" w:hAnsi="宋体" w:hint="eastAsia"/>
          <w:color w:val="000000" w:themeColor="text1"/>
          <w:sz w:val="24"/>
          <w:szCs w:val="21"/>
        </w:rPr>
        <w:t>行为数据</w:t>
      </w:r>
      <w:r w:rsidR="000F148F">
        <w:rPr>
          <w:rFonts w:ascii="宋体" w:eastAsia="宋体" w:hAnsi="宋体" w:hint="eastAsia"/>
          <w:color w:val="000000" w:themeColor="text1"/>
          <w:sz w:val="24"/>
          <w:szCs w:val="21"/>
        </w:rPr>
        <w:t>，上市公司</w:t>
      </w:r>
      <w:r w:rsidR="006D0897">
        <w:rPr>
          <w:rFonts w:ascii="宋体" w:eastAsia="宋体" w:hAnsi="宋体" w:hint="eastAsia"/>
          <w:color w:val="000000" w:themeColor="text1"/>
          <w:sz w:val="24"/>
          <w:szCs w:val="21"/>
        </w:rPr>
        <w:t>发生可能导致</w:t>
      </w:r>
      <w:r w:rsidR="000F148F">
        <w:rPr>
          <w:rFonts w:ascii="宋体" w:eastAsia="宋体" w:hAnsi="宋体" w:hint="eastAsia"/>
          <w:color w:val="000000" w:themeColor="text1"/>
          <w:sz w:val="24"/>
          <w:szCs w:val="21"/>
        </w:rPr>
        <w:t>股价变动的重大事件的，研究部门</w:t>
      </w:r>
      <w:r w:rsidR="006D0897">
        <w:rPr>
          <w:rFonts w:ascii="宋体" w:eastAsia="宋体" w:hAnsi="宋体" w:hint="eastAsia"/>
          <w:color w:val="000000" w:themeColor="text1"/>
          <w:sz w:val="24"/>
          <w:szCs w:val="21"/>
        </w:rPr>
        <w:t>应当及时进行风险提示和预警。</w:t>
      </w:r>
    </w:p>
    <w:p w:rsidR="008F0CA3" w:rsidRDefault="00F21670" w:rsidP="00F21670">
      <w:pPr>
        <w:spacing w:after="240" w:line="360" w:lineRule="auto"/>
        <w:rPr>
          <w:rFonts w:ascii="宋体" w:eastAsia="宋体" w:hAnsi="宋体"/>
          <w:color w:val="000000" w:themeColor="text1"/>
          <w:sz w:val="24"/>
          <w:szCs w:val="21"/>
        </w:rPr>
      </w:pPr>
      <w:r w:rsidRPr="000B6B61">
        <w:rPr>
          <w:rFonts w:ascii="宋体" w:eastAsia="宋体" w:hAnsi="宋体" w:hint="eastAsia"/>
          <w:b/>
          <w:color w:val="000000" w:themeColor="text1"/>
          <w:sz w:val="24"/>
          <w:szCs w:val="21"/>
        </w:rPr>
        <w:t>第</w:t>
      </w:r>
      <w:r w:rsidR="00686B78">
        <w:rPr>
          <w:rFonts w:ascii="宋体" w:eastAsia="宋体" w:hAnsi="宋体" w:hint="eastAsia"/>
          <w:b/>
          <w:color w:val="000000" w:themeColor="text1"/>
          <w:sz w:val="24"/>
          <w:szCs w:val="21"/>
        </w:rPr>
        <w:t>二十</w:t>
      </w:r>
      <w:r w:rsidR="006C55F0">
        <w:rPr>
          <w:rFonts w:ascii="宋体" w:eastAsia="宋体" w:hAnsi="宋体" w:hint="eastAsia"/>
          <w:b/>
          <w:color w:val="000000" w:themeColor="text1"/>
          <w:sz w:val="24"/>
          <w:szCs w:val="21"/>
        </w:rPr>
        <w:t>一</w:t>
      </w:r>
      <w:r w:rsidRPr="000B6B61">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Pr>
          <w:rFonts w:ascii="宋体" w:eastAsia="宋体" w:hAnsi="宋体" w:hint="eastAsia"/>
          <w:color w:val="000000" w:themeColor="text1"/>
          <w:sz w:val="24"/>
          <w:szCs w:val="21"/>
        </w:rPr>
        <w:t>保险</w:t>
      </w:r>
      <w:r w:rsidR="00686B78">
        <w:rPr>
          <w:rFonts w:ascii="宋体" w:eastAsia="宋体" w:hAnsi="宋体" w:hint="eastAsia"/>
          <w:color w:val="000000" w:themeColor="text1"/>
          <w:sz w:val="24"/>
          <w:szCs w:val="21"/>
        </w:rPr>
        <w:t>机构</w:t>
      </w:r>
      <w:r>
        <w:rPr>
          <w:rFonts w:ascii="宋体" w:eastAsia="宋体" w:hAnsi="宋体" w:hint="eastAsia"/>
          <w:color w:val="000000" w:themeColor="text1"/>
          <w:sz w:val="24"/>
          <w:szCs w:val="21"/>
        </w:rPr>
        <w:t>应当针对股票及股票型基金投资建立包括</w:t>
      </w:r>
      <w:r w:rsidRPr="00281EFD">
        <w:rPr>
          <w:rFonts w:ascii="宋体" w:eastAsia="宋体" w:hAnsi="宋体" w:hint="eastAsia"/>
          <w:color w:val="000000" w:themeColor="text1"/>
          <w:sz w:val="24"/>
          <w:szCs w:val="21"/>
        </w:rPr>
        <w:t>交易限额、风险限额、止损限额在内的限额管理体系</w:t>
      </w:r>
      <w:r>
        <w:rPr>
          <w:rFonts w:ascii="宋体" w:eastAsia="宋体" w:hAnsi="宋体" w:hint="eastAsia"/>
          <w:color w:val="000000" w:themeColor="text1"/>
          <w:sz w:val="24"/>
          <w:szCs w:val="21"/>
        </w:rPr>
        <w:t>，制定相关制度并严格执行，</w:t>
      </w:r>
      <w:r w:rsidR="00047088">
        <w:rPr>
          <w:rFonts w:ascii="宋体" w:eastAsia="宋体" w:hAnsi="宋体" w:hint="eastAsia"/>
          <w:color w:val="000000" w:themeColor="text1"/>
          <w:sz w:val="24"/>
          <w:szCs w:val="21"/>
        </w:rPr>
        <w:t>将</w:t>
      </w:r>
      <w:r>
        <w:rPr>
          <w:rFonts w:ascii="宋体" w:eastAsia="宋体" w:hAnsi="宋体" w:hint="eastAsia"/>
          <w:color w:val="000000" w:themeColor="text1"/>
          <w:sz w:val="24"/>
          <w:szCs w:val="21"/>
        </w:rPr>
        <w:t>交易风险</w:t>
      </w:r>
      <w:r w:rsidR="00047088">
        <w:rPr>
          <w:rFonts w:ascii="宋体" w:eastAsia="宋体" w:hAnsi="宋体" w:hint="eastAsia"/>
          <w:color w:val="000000" w:themeColor="text1"/>
          <w:sz w:val="24"/>
          <w:szCs w:val="21"/>
        </w:rPr>
        <w:t>限制在可控范围内</w:t>
      </w:r>
      <w:r>
        <w:rPr>
          <w:rFonts w:ascii="宋体" w:eastAsia="宋体" w:hAnsi="宋体" w:hint="eastAsia"/>
          <w:color w:val="000000" w:themeColor="text1"/>
          <w:sz w:val="24"/>
          <w:szCs w:val="21"/>
        </w:rPr>
        <w:t>。</w:t>
      </w:r>
    </w:p>
    <w:p w:rsidR="00F41FBB" w:rsidRDefault="006C55F0" w:rsidP="00F21670">
      <w:pPr>
        <w:spacing w:after="240" w:line="360" w:lineRule="auto"/>
        <w:rPr>
          <w:rFonts w:ascii="宋体" w:eastAsia="宋体" w:hAnsi="宋体"/>
          <w:color w:val="000000" w:themeColor="text1"/>
          <w:sz w:val="24"/>
          <w:szCs w:val="21"/>
        </w:rPr>
      </w:pPr>
      <w:r w:rsidRPr="000B6B61">
        <w:rPr>
          <w:rFonts w:ascii="宋体" w:eastAsia="宋体" w:hAnsi="宋体" w:hint="eastAsia"/>
          <w:b/>
          <w:color w:val="000000" w:themeColor="text1"/>
          <w:sz w:val="24"/>
          <w:szCs w:val="21"/>
        </w:rPr>
        <w:t>第</w:t>
      </w:r>
      <w:r>
        <w:rPr>
          <w:rFonts w:ascii="宋体" w:eastAsia="宋体" w:hAnsi="宋体" w:hint="eastAsia"/>
          <w:b/>
          <w:color w:val="000000" w:themeColor="text1"/>
          <w:sz w:val="24"/>
          <w:szCs w:val="21"/>
        </w:rPr>
        <w:t>二十二</w:t>
      </w:r>
      <w:r w:rsidRPr="000B6B61">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008F0CA3" w:rsidRPr="00686B78">
        <w:rPr>
          <w:rFonts w:ascii="宋体" w:eastAsia="宋体" w:hAnsi="宋体" w:hint="eastAsia"/>
          <w:color w:val="000000" w:themeColor="text1"/>
          <w:sz w:val="24"/>
          <w:szCs w:val="21"/>
        </w:rPr>
        <w:t>保险机构应</w:t>
      </w:r>
      <w:r>
        <w:rPr>
          <w:rFonts w:ascii="宋体" w:eastAsia="宋体" w:hAnsi="宋体" w:hint="eastAsia"/>
          <w:color w:val="000000" w:themeColor="text1"/>
          <w:sz w:val="24"/>
          <w:szCs w:val="21"/>
        </w:rPr>
        <w:t>建立监测机制，对</w:t>
      </w:r>
      <w:r w:rsidR="008F0CA3" w:rsidRPr="00686B78">
        <w:rPr>
          <w:rFonts w:ascii="宋体" w:eastAsia="宋体" w:hAnsi="宋体" w:hint="eastAsia"/>
          <w:color w:val="000000" w:themeColor="text1"/>
          <w:sz w:val="24"/>
          <w:szCs w:val="21"/>
        </w:rPr>
        <w:t>内幕交易、利益输送和操纵价格等违法违规行为</w:t>
      </w:r>
      <w:r>
        <w:rPr>
          <w:rFonts w:ascii="宋体" w:eastAsia="宋体" w:hAnsi="宋体" w:hint="eastAsia"/>
          <w:color w:val="000000" w:themeColor="text1"/>
          <w:sz w:val="24"/>
          <w:szCs w:val="21"/>
        </w:rPr>
        <w:t>进行重点监控，</w:t>
      </w:r>
      <w:r w:rsidR="008F0CA3" w:rsidRPr="00686B78">
        <w:rPr>
          <w:rFonts w:ascii="宋体" w:eastAsia="宋体" w:hAnsi="宋体" w:hint="eastAsia"/>
          <w:color w:val="000000" w:themeColor="text1"/>
          <w:sz w:val="24"/>
          <w:szCs w:val="21"/>
        </w:rPr>
        <w:t>发现投资同一上市公司股票比例较高、交易价格异常、反向交易频繁或交易数量较大等问题的，应当及时披露相关信息，并向委托机构和监管机构报告</w:t>
      </w:r>
      <w:r w:rsidR="008F0CA3" w:rsidRPr="00686B78">
        <w:rPr>
          <w:rFonts w:ascii="宋体" w:eastAsia="宋体" w:hAnsi="宋体"/>
          <w:color w:val="000000" w:themeColor="text1"/>
          <w:sz w:val="24"/>
          <w:szCs w:val="21"/>
        </w:rPr>
        <w:t>。</w:t>
      </w:r>
    </w:p>
    <w:p w:rsidR="00C20341" w:rsidRDefault="00E57F27" w:rsidP="00CD0EDE">
      <w:pPr>
        <w:spacing w:after="240" w:line="360" w:lineRule="auto"/>
        <w:rPr>
          <w:rFonts w:ascii="宋体" w:eastAsia="宋体" w:hAnsi="宋体"/>
          <w:color w:val="000000" w:themeColor="text1"/>
          <w:sz w:val="24"/>
          <w:szCs w:val="21"/>
        </w:rPr>
      </w:pPr>
      <w:r>
        <w:rPr>
          <w:rFonts w:ascii="宋体" w:eastAsia="宋体" w:hAnsi="宋体" w:hint="eastAsia"/>
          <w:b/>
          <w:color w:val="000000" w:themeColor="text1"/>
          <w:sz w:val="24"/>
          <w:szCs w:val="21"/>
        </w:rPr>
        <w:t>第</w:t>
      </w:r>
      <w:r w:rsidR="00F21670">
        <w:rPr>
          <w:rFonts w:ascii="宋体" w:eastAsia="宋体" w:hAnsi="宋体" w:hint="eastAsia"/>
          <w:b/>
          <w:color w:val="000000" w:themeColor="text1"/>
          <w:sz w:val="24"/>
          <w:szCs w:val="21"/>
        </w:rPr>
        <w:t>二十</w:t>
      </w:r>
      <w:r w:rsidR="006C55F0">
        <w:rPr>
          <w:rFonts w:ascii="宋体" w:eastAsia="宋体" w:hAnsi="宋体" w:hint="eastAsia"/>
          <w:b/>
          <w:color w:val="000000" w:themeColor="text1"/>
          <w:sz w:val="24"/>
          <w:szCs w:val="21"/>
        </w:rPr>
        <w:t>三</w:t>
      </w:r>
      <w:r w:rsidR="006D0897">
        <w:rPr>
          <w:rFonts w:ascii="宋体" w:eastAsia="宋体" w:hAnsi="宋体" w:hint="eastAsia"/>
          <w:b/>
          <w:color w:val="000000" w:themeColor="text1"/>
          <w:sz w:val="24"/>
          <w:szCs w:val="21"/>
        </w:rPr>
        <w:t xml:space="preserve">条 </w:t>
      </w:r>
      <w:r w:rsidR="006A6B12">
        <w:rPr>
          <w:rFonts w:ascii="宋体" w:eastAsia="宋体" w:hAnsi="宋体" w:hint="eastAsia"/>
          <w:color w:val="000000" w:themeColor="text1"/>
          <w:sz w:val="24"/>
          <w:szCs w:val="21"/>
        </w:rPr>
        <w:t>保险</w:t>
      </w:r>
      <w:r w:rsidR="006C55F0">
        <w:rPr>
          <w:rFonts w:ascii="宋体" w:eastAsia="宋体" w:hAnsi="宋体" w:hint="eastAsia"/>
          <w:color w:val="000000" w:themeColor="text1"/>
          <w:sz w:val="24"/>
          <w:szCs w:val="21"/>
        </w:rPr>
        <w:t>机构</w:t>
      </w:r>
      <w:r w:rsidR="00CD0EDE" w:rsidRPr="00307F17">
        <w:rPr>
          <w:rFonts w:ascii="宋体" w:eastAsia="宋体" w:hAnsi="宋体" w:hint="eastAsia"/>
          <w:color w:val="000000" w:themeColor="text1"/>
          <w:sz w:val="24"/>
          <w:szCs w:val="21"/>
        </w:rPr>
        <w:t>应当</w:t>
      </w:r>
      <w:r w:rsidR="00F279DC">
        <w:rPr>
          <w:rFonts w:ascii="宋体" w:eastAsia="宋体" w:hAnsi="宋体" w:hint="eastAsia"/>
          <w:color w:val="000000" w:themeColor="text1"/>
          <w:sz w:val="24"/>
          <w:szCs w:val="21"/>
        </w:rPr>
        <w:t>明确</w:t>
      </w:r>
      <w:r w:rsidR="005D6DA4">
        <w:rPr>
          <w:rFonts w:ascii="宋体" w:eastAsia="宋体" w:hAnsi="宋体" w:hint="eastAsia"/>
          <w:color w:val="000000" w:themeColor="text1"/>
          <w:sz w:val="24"/>
          <w:szCs w:val="21"/>
        </w:rPr>
        <w:t>股票及股票型基金</w:t>
      </w:r>
      <w:r w:rsidR="00F279DC">
        <w:rPr>
          <w:rFonts w:ascii="宋体" w:eastAsia="宋体" w:hAnsi="宋体" w:hint="eastAsia"/>
          <w:color w:val="000000" w:themeColor="text1"/>
          <w:sz w:val="24"/>
          <w:szCs w:val="21"/>
        </w:rPr>
        <w:t>投资后管理</w:t>
      </w:r>
      <w:r w:rsidR="00507B1F">
        <w:rPr>
          <w:rFonts w:ascii="宋体" w:eastAsia="宋体" w:hAnsi="宋体" w:hint="eastAsia"/>
          <w:color w:val="000000" w:themeColor="text1"/>
          <w:sz w:val="24"/>
          <w:szCs w:val="21"/>
        </w:rPr>
        <w:t>岗位职责</w:t>
      </w:r>
      <w:r w:rsidR="00CD0EDE" w:rsidRPr="00307F17">
        <w:rPr>
          <w:rFonts w:ascii="宋体" w:eastAsia="宋体" w:hAnsi="宋体" w:hint="eastAsia"/>
          <w:color w:val="000000" w:themeColor="text1"/>
          <w:sz w:val="24"/>
          <w:szCs w:val="21"/>
        </w:rPr>
        <w:t>，</w:t>
      </w:r>
      <w:r w:rsidR="00072A9E">
        <w:rPr>
          <w:rFonts w:ascii="宋体" w:eastAsia="宋体" w:hAnsi="宋体" w:hint="eastAsia"/>
          <w:color w:val="000000" w:themeColor="text1"/>
          <w:sz w:val="24"/>
          <w:szCs w:val="21"/>
        </w:rPr>
        <w:t>跟踪并收集</w:t>
      </w:r>
      <w:r w:rsidR="005D6DA4">
        <w:rPr>
          <w:rFonts w:ascii="宋体" w:eastAsia="宋体" w:hAnsi="宋体" w:hint="eastAsia"/>
          <w:color w:val="000000" w:themeColor="text1"/>
          <w:sz w:val="24"/>
          <w:szCs w:val="21"/>
        </w:rPr>
        <w:t>公司行为</w:t>
      </w:r>
      <w:r w:rsidR="007D7AD0">
        <w:rPr>
          <w:rFonts w:ascii="宋体" w:eastAsia="宋体" w:hAnsi="宋体" w:hint="eastAsia"/>
          <w:color w:val="000000" w:themeColor="text1"/>
          <w:sz w:val="24"/>
          <w:szCs w:val="21"/>
        </w:rPr>
        <w:t>数据</w:t>
      </w:r>
      <w:r w:rsidR="00F60483">
        <w:rPr>
          <w:rFonts w:ascii="宋体" w:eastAsia="宋体" w:hAnsi="宋体" w:hint="eastAsia"/>
          <w:color w:val="000000" w:themeColor="text1"/>
          <w:sz w:val="24"/>
          <w:szCs w:val="21"/>
        </w:rPr>
        <w:t>，及时</w:t>
      </w:r>
      <w:r w:rsidR="00B74571">
        <w:rPr>
          <w:rFonts w:ascii="宋体" w:eastAsia="宋体" w:hAnsi="宋体" w:hint="eastAsia"/>
          <w:color w:val="000000" w:themeColor="text1"/>
          <w:sz w:val="24"/>
          <w:szCs w:val="21"/>
        </w:rPr>
        <w:t>调整</w:t>
      </w:r>
      <w:r w:rsidR="00B30426">
        <w:rPr>
          <w:rFonts w:ascii="宋体" w:eastAsia="宋体" w:hAnsi="宋体" w:hint="eastAsia"/>
          <w:color w:val="000000" w:themeColor="text1"/>
          <w:sz w:val="24"/>
          <w:szCs w:val="21"/>
        </w:rPr>
        <w:t>交易系统中除</w:t>
      </w:r>
      <w:r w:rsidR="007D7AD0">
        <w:rPr>
          <w:rFonts w:ascii="宋体" w:eastAsia="宋体" w:hAnsi="宋体" w:hint="eastAsia"/>
          <w:color w:val="000000" w:themeColor="text1"/>
          <w:sz w:val="24"/>
          <w:szCs w:val="21"/>
        </w:rPr>
        <w:t>权除息日、红利发放日、新股招股公告日等信息</w:t>
      </w:r>
      <w:r w:rsidR="005D5606">
        <w:rPr>
          <w:rFonts w:ascii="宋体" w:eastAsia="宋体" w:hAnsi="宋体" w:hint="eastAsia"/>
          <w:color w:val="000000" w:themeColor="text1"/>
          <w:sz w:val="24"/>
          <w:szCs w:val="21"/>
        </w:rPr>
        <w:t>。</w:t>
      </w:r>
    </w:p>
    <w:p w:rsidR="00C20341" w:rsidRPr="00307F17" w:rsidRDefault="00C20341" w:rsidP="00CD0EDE">
      <w:pPr>
        <w:spacing w:after="240" w:line="360" w:lineRule="auto"/>
        <w:rPr>
          <w:rFonts w:ascii="宋体" w:eastAsia="宋体" w:hAnsi="宋体"/>
          <w:color w:val="000000" w:themeColor="text1"/>
          <w:sz w:val="24"/>
          <w:szCs w:val="21"/>
        </w:rPr>
      </w:pPr>
      <w:r w:rsidRPr="00EA7D55">
        <w:rPr>
          <w:rFonts w:ascii="Arial" w:eastAsia="宋体" w:hAnsi="宋体" w:cs="Arial"/>
          <w:b/>
          <w:sz w:val="24"/>
          <w:szCs w:val="24"/>
        </w:rPr>
        <w:t>第</w:t>
      </w:r>
      <w:r w:rsidR="006C55F0">
        <w:rPr>
          <w:rFonts w:ascii="Arial" w:eastAsia="宋体" w:hAnsi="宋体" w:cs="Arial" w:hint="eastAsia"/>
          <w:b/>
          <w:sz w:val="24"/>
          <w:szCs w:val="24"/>
        </w:rPr>
        <w:t>二十四</w:t>
      </w:r>
      <w:r w:rsidRPr="00EA7D55">
        <w:rPr>
          <w:rFonts w:ascii="Arial" w:eastAsia="宋体" w:hAnsi="宋体" w:cs="Arial"/>
          <w:b/>
          <w:sz w:val="24"/>
          <w:szCs w:val="24"/>
        </w:rPr>
        <w:t>条</w:t>
      </w:r>
      <w:r w:rsidR="0061164B">
        <w:rPr>
          <w:rFonts w:ascii="Arial" w:eastAsia="宋体" w:hAnsi="宋体" w:cs="Arial" w:hint="eastAsia"/>
          <w:b/>
          <w:sz w:val="24"/>
          <w:szCs w:val="24"/>
        </w:rPr>
        <w:t xml:space="preserve"> </w:t>
      </w:r>
      <w:r>
        <w:rPr>
          <w:rFonts w:ascii="宋体" w:eastAsia="宋体" w:hAnsi="宋体" w:hint="eastAsia"/>
          <w:color w:val="000000" w:themeColor="text1"/>
          <w:sz w:val="24"/>
          <w:szCs w:val="21"/>
        </w:rPr>
        <w:t>保险</w:t>
      </w:r>
      <w:r w:rsidR="006C55F0">
        <w:rPr>
          <w:rFonts w:ascii="宋体" w:eastAsia="宋体" w:hAnsi="宋体" w:hint="eastAsia"/>
          <w:color w:val="000000" w:themeColor="text1"/>
          <w:sz w:val="24"/>
          <w:szCs w:val="21"/>
        </w:rPr>
        <w:t>机构</w:t>
      </w:r>
      <w:r w:rsidRPr="002B689F">
        <w:rPr>
          <w:rFonts w:ascii="Arial" w:eastAsia="宋体" w:hAnsi="宋体" w:cs="Arial"/>
          <w:sz w:val="24"/>
          <w:szCs w:val="24"/>
        </w:rPr>
        <w:t>应当明确各种与</w:t>
      </w:r>
      <w:r>
        <w:rPr>
          <w:rFonts w:ascii="宋体" w:eastAsia="宋体" w:hAnsi="宋体" w:hint="eastAsia"/>
          <w:color w:val="000000" w:themeColor="text1"/>
          <w:sz w:val="24"/>
          <w:szCs w:val="21"/>
        </w:rPr>
        <w:t>股票及股票型基金投资</w:t>
      </w:r>
      <w:r w:rsidRPr="002B689F">
        <w:rPr>
          <w:rFonts w:ascii="Arial" w:eastAsia="宋体" w:hAnsi="宋体" w:cs="Arial"/>
          <w:sz w:val="24"/>
          <w:szCs w:val="24"/>
        </w:rPr>
        <w:t>业务相关文件资料的取得、归档、保管、调阅等各个环节的管理规定及相关人员的职责权限</w:t>
      </w:r>
      <w:r>
        <w:rPr>
          <w:rFonts w:ascii="Arial" w:eastAsia="宋体" w:hAnsi="宋体" w:cs="Arial" w:hint="eastAsia"/>
          <w:sz w:val="24"/>
          <w:szCs w:val="24"/>
        </w:rPr>
        <w:t>。</w:t>
      </w:r>
    </w:p>
    <w:p w:rsidR="00D77ACF" w:rsidRPr="006C55F0" w:rsidRDefault="00E53021" w:rsidP="006C55F0">
      <w:pPr>
        <w:spacing w:after="240" w:line="360" w:lineRule="auto"/>
        <w:rPr>
          <w:rFonts w:ascii="宋体" w:eastAsia="宋体" w:hAnsi="宋体"/>
          <w:color w:val="000000" w:themeColor="text1"/>
          <w:sz w:val="24"/>
          <w:szCs w:val="21"/>
        </w:rPr>
      </w:pPr>
      <w:r w:rsidRPr="00E53021">
        <w:rPr>
          <w:rFonts w:ascii="宋体" w:eastAsia="宋体" w:hAnsi="宋体" w:hint="eastAsia"/>
          <w:b/>
          <w:color w:val="000000" w:themeColor="text1"/>
          <w:sz w:val="24"/>
          <w:szCs w:val="21"/>
        </w:rPr>
        <w:t>第二十</w:t>
      </w:r>
      <w:r w:rsidR="006C55F0">
        <w:rPr>
          <w:rFonts w:ascii="宋体" w:eastAsia="宋体" w:hAnsi="宋体" w:hint="eastAsia"/>
          <w:b/>
          <w:color w:val="000000" w:themeColor="text1"/>
          <w:sz w:val="24"/>
          <w:szCs w:val="21"/>
        </w:rPr>
        <w:t>五</w:t>
      </w:r>
      <w:r w:rsidRPr="00E53021">
        <w:rPr>
          <w:rFonts w:ascii="宋体" w:eastAsia="宋体" w:hAnsi="宋体" w:hint="eastAsia"/>
          <w:b/>
          <w:color w:val="000000" w:themeColor="text1"/>
          <w:sz w:val="24"/>
          <w:szCs w:val="21"/>
        </w:rPr>
        <w:t>条</w:t>
      </w:r>
      <w:r w:rsidR="0061164B">
        <w:rPr>
          <w:rFonts w:ascii="宋体" w:eastAsia="宋体" w:hAnsi="宋体" w:hint="eastAsia"/>
          <w:b/>
          <w:color w:val="000000" w:themeColor="text1"/>
          <w:sz w:val="24"/>
          <w:szCs w:val="21"/>
        </w:rPr>
        <w:t xml:space="preserve"> </w:t>
      </w:r>
      <w:r w:rsidR="00EA2DCE" w:rsidRPr="00EA2DCE">
        <w:rPr>
          <w:rFonts w:ascii="宋体" w:eastAsia="宋体" w:hAnsi="宋体" w:hint="eastAsia"/>
          <w:color w:val="000000" w:themeColor="text1"/>
          <w:sz w:val="24"/>
          <w:szCs w:val="21"/>
        </w:rPr>
        <w:t>应</w:t>
      </w:r>
      <w:r w:rsidR="001E39F5">
        <w:rPr>
          <w:rFonts w:ascii="宋体" w:eastAsia="宋体" w:hAnsi="宋体" w:hint="eastAsia"/>
          <w:color w:val="000000" w:themeColor="text1"/>
          <w:sz w:val="24"/>
          <w:szCs w:val="21"/>
        </w:rPr>
        <w:t>当按照监管机构对于股票及股票型基金</w:t>
      </w:r>
      <w:r w:rsidR="00CD0EDE" w:rsidRPr="00307F17">
        <w:rPr>
          <w:rFonts w:ascii="宋体" w:eastAsia="宋体" w:hAnsi="宋体" w:hint="eastAsia"/>
          <w:color w:val="000000" w:themeColor="text1"/>
          <w:sz w:val="24"/>
          <w:szCs w:val="21"/>
        </w:rPr>
        <w:t>的有关规定</w:t>
      </w:r>
      <w:r>
        <w:rPr>
          <w:rFonts w:ascii="宋体" w:eastAsia="宋体" w:hAnsi="宋体" w:hint="eastAsia"/>
          <w:color w:val="000000" w:themeColor="text1"/>
          <w:sz w:val="24"/>
          <w:szCs w:val="21"/>
        </w:rPr>
        <w:t>，及时、真实、准确、完整地向监管机构提交报告、报表、文件和资料。</w:t>
      </w:r>
    </w:p>
    <w:p w:rsidR="004458EE" w:rsidRPr="004458EE" w:rsidRDefault="004458EE" w:rsidP="00594D2F">
      <w:pPr>
        <w:spacing w:after="240" w:line="360" w:lineRule="auto"/>
        <w:rPr>
          <w:lang w:val="en-US"/>
        </w:rPr>
      </w:pPr>
      <w:bookmarkStart w:id="6" w:name="_GoBack"/>
      <w:bookmarkEnd w:id="6"/>
    </w:p>
    <w:sectPr w:rsidR="004458EE" w:rsidRPr="004458EE" w:rsidSect="00705445">
      <w:headerReference w:type="default"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5A7" w:rsidRDefault="009815A7" w:rsidP="002648AF">
      <w:pPr>
        <w:spacing w:after="0" w:line="240" w:lineRule="auto"/>
      </w:pPr>
      <w:r>
        <w:separator/>
      </w:r>
    </w:p>
  </w:endnote>
  <w:endnote w:type="continuationSeparator" w:id="1">
    <w:p w:rsidR="009815A7" w:rsidRDefault="009815A7" w:rsidP="00264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37698"/>
      <w:docPartObj>
        <w:docPartGallery w:val="Page Numbers (Bottom of Page)"/>
        <w:docPartUnique/>
      </w:docPartObj>
    </w:sdtPr>
    <w:sdtContent>
      <w:p w:rsidR="000376F2" w:rsidRDefault="00857317" w:rsidP="00C1770A">
        <w:pPr>
          <w:pStyle w:val="a7"/>
          <w:jc w:val="center"/>
        </w:pPr>
        <w:r>
          <w:fldChar w:fldCharType="begin"/>
        </w:r>
        <w:r w:rsidR="000376F2">
          <w:instrText>PAGE   \* MERGEFORMAT</w:instrText>
        </w:r>
        <w:r>
          <w:fldChar w:fldCharType="separate"/>
        </w:r>
        <w:r w:rsidR="00A10E73" w:rsidRPr="00A10E73">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5A7" w:rsidRDefault="009815A7" w:rsidP="002648AF">
      <w:pPr>
        <w:spacing w:after="0" w:line="240" w:lineRule="auto"/>
      </w:pPr>
      <w:r>
        <w:separator/>
      </w:r>
    </w:p>
  </w:footnote>
  <w:footnote w:type="continuationSeparator" w:id="1">
    <w:p w:rsidR="009815A7" w:rsidRDefault="009815A7" w:rsidP="002648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F2" w:rsidRPr="00013CF6" w:rsidRDefault="000376F2" w:rsidP="00013CF6">
    <w:pPr>
      <w:pStyle w:val="a6"/>
      <w:jc w:val="center"/>
    </w:pPr>
    <w:r w:rsidRPr="00013CF6">
      <w:rPr>
        <w:rFonts w:hint="eastAsia"/>
        <w:noProof/>
      </w:rPr>
      <w:t>保险资金运用内部控制应用指引第</w:t>
    </w:r>
    <w:r>
      <w:rPr>
        <w:rFonts w:hint="eastAsia"/>
        <w:noProof/>
      </w:rPr>
      <w:t>3</w:t>
    </w:r>
    <w:r>
      <w:rPr>
        <w:rFonts w:hint="eastAsia"/>
        <w:noProof/>
      </w:rPr>
      <w:t>号——</w:t>
    </w:r>
    <w:r>
      <w:rPr>
        <w:rFonts w:hint="eastAsia"/>
      </w:rPr>
      <w:t>股票及股票型基金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07E8"/>
    <w:multiLevelType w:val="hybridMultilevel"/>
    <w:tmpl w:val="F3604038"/>
    <w:lvl w:ilvl="0" w:tplc="21E49E64">
      <w:start w:val="4"/>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A503D"/>
    <w:multiLevelType w:val="hybridMultilevel"/>
    <w:tmpl w:val="F3C2EAB0"/>
    <w:lvl w:ilvl="0" w:tplc="036A3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88767A"/>
    <w:multiLevelType w:val="hybridMultilevel"/>
    <w:tmpl w:val="3CBAF7E2"/>
    <w:lvl w:ilvl="0" w:tplc="5CDA92E8">
      <w:start w:val="1"/>
      <w:numFmt w:val="japaneseCounting"/>
      <w:lvlText w:val="（%1）"/>
      <w:lvlJc w:val="left"/>
      <w:pPr>
        <w:ind w:left="1215" w:hanging="735"/>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nsid w:val="13792E9F"/>
    <w:multiLevelType w:val="hybridMultilevel"/>
    <w:tmpl w:val="5838B68E"/>
    <w:lvl w:ilvl="0" w:tplc="9CBC860E">
      <w:start w:val="4"/>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CF1E94"/>
    <w:multiLevelType w:val="hybridMultilevel"/>
    <w:tmpl w:val="EE40B8B8"/>
    <w:lvl w:ilvl="0" w:tplc="49F25DB2">
      <w:start w:val="1"/>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8859B7"/>
    <w:multiLevelType w:val="hybridMultilevel"/>
    <w:tmpl w:val="18A279BE"/>
    <w:lvl w:ilvl="0" w:tplc="DB54BA24">
      <w:start w:val="1"/>
      <w:numFmt w:val="japaneseCounting"/>
      <w:lvlText w:val="（%1）"/>
      <w:lvlJc w:val="left"/>
      <w:pPr>
        <w:ind w:left="1590" w:hanging="1110"/>
      </w:pPr>
      <w:rPr>
        <w:rFonts w:hint="default"/>
        <w:lang w:val="en-G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nsid w:val="1BF0769B"/>
    <w:multiLevelType w:val="hybridMultilevel"/>
    <w:tmpl w:val="18A279BE"/>
    <w:lvl w:ilvl="0" w:tplc="DB54BA24">
      <w:start w:val="1"/>
      <w:numFmt w:val="japaneseCounting"/>
      <w:lvlText w:val="（%1）"/>
      <w:lvlJc w:val="left"/>
      <w:pPr>
        <w:ind w:left="1590" w:hanging="1110"/>
      </w:pPr>
      <w:rPr>
        <w:rFonts w:hint="default"/>
        <w:lang w:val="en-G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nsid w:val="22F70C24"/>
    <w:multiLevelType w:val="hybridMultilevel"/>
    <w:tmpl w:val="9F120360"/>
    <w:lvl w:ilvl="0" w:tplc="323225B2">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8">
    <w:nsid w:val="3289783C"/>
    <w:multiLevelType w:val="hybridMultilevel"/>
    <w:tmpl w:val="E6FA9CE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nsid w:val="33475DEE"/>
    <w:multiLevelType w:val="hybridMultilevel"/>
    <w:tmpl w:val="EC02A6AA"/>
    <w:lvl w:ilvl="0" w:tplc="B8144A82">
      <w:start w:val="1"/>
      <w:numFmt w:val="japaneseCounting"/>
      <w:lvlText w:val="（%1）"/>
      <w:lvlJc w:val="left"/>
      <w:pPr>
        <w:ind w:left="1590" w:hanging="111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nsid w:val="37EC1A93"/>
    <w:multiLevelType w:val="hybridMultilevel"/>
    <w:tmpl w:val="EC02A6AA"/>
    <w:lvl w:ilvl="0" w:tplc="B8144A82">
      <w:start w:val="1"/>
      <w:numFmt w:val="japaneseCounting"/>
      <w:lvlText w:val="（%1）"/>
      <w:lvlJc w:val="left"/>
      <w:pPr>
        <w:ind w:left="1590" w:hanging="111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nsid w:val="38611FD7"/>
    <w:multiLevelType w:val="hybridMultilevel"/>
    <w:tmpl w:val="CFC2E61A"/>
    <w:lvl w:ilvl="0" w:tplc="FC668BDE">
      <w:start w:val="1"/>
      <w:numFmt w:val="japaneseCounting"/>
      <w:lvlText w:val="（%1）"/>
      <w:lvlJc w:val="left"/>
      <w:pPr>
        <w:ind w:left="1590" w:hanging="1110"/>
      </w:pPr>
      <w:rPr>
        <w:rFonts w:hint="default"/>
        <w:lang w:val="en-G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2">
    <w:nsid w:val="55FB5178"/>
    <w:multiLevelType w:val="hybridMultilevel"/>
    <w:tmpl w:val="E1365476"/>
    <w:lvl w:ilvl="0" w:tplc="8E84D752">
      <w:start w:val="3"/>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1A65F4"/>
    <w:multiLevelType w:val="hybridMultilevel"/>
    <w:tmpl w:val="3A0C6550"/>
    <w:lvl w:ilvl="0" w:tplc="12D82DE6">
      <w:start w:val="4"/>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CC7B31"/>
    <w:multiLevelType w:val="hybridMultilevel"/>
    <w:tmpl w:val="A2229C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nsid w:val="5C056E7B"/>
    <w:multiLevelType w:val="hybridMultilevel"/>
    <w:tmpl w:val="5E66F476"/>
    <w:lvl w:ilvl="0" w:tplc="C694B5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EF7E82"/>
    <w:multiLevelType w:val="hybridMultilevel"/>
    <w:tmpl w:val="EC02A6AA"/>
    <w:lvl w:ilvl="0" w:tplc="B8144A82">
      <w:start w:val="1"/>
      <w:numFmt w:val="japaneseCounting"/>
      <w:lvlText w:val="（%1）"/>
      <w:lvlJc w:val="left"/>
      <w:pPr>
        <w:ind w:left="1590" w:hanging="111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nsid w:val="60950744"/>
    <w:multiLevelType w:val="hybridMultilevel"/>
    <w:tmpl w:val="6456CC80"/>
    <w:lvl w:ilvl="0" w:tplc="A12ED274">
      <w:start w:val="1"/>
      <w:numFmt w:val="japaneseCounting"/>
      <w:lvlText w:val="第%1条"/>
      <w:lvlJc w:val="left"/>
      <w:pPr>
        <w:ind w:left="750" w:hanging="7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8547E4"/>
    <w:multiLevelType w:val="hybridMultilevel"/>
    <w:tmpl w:val="98F2E846"/>
    <w:lvl w:ilvl="0" w:tplc="2D3E0808">
      <w:start w:val="1"/>
      <w:numFmt w:val="japaneseCounting"/>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9">
    <w:nsid w:val="71D0091A"/>
    <w:multiLevelType w:val="hybridMultilevel"/>
    <w:tmpl w:val="D2CEA75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nsid w:val="75521E6C"/>
    <w:multiLevelType w:val="hybridMultilevel"/>
    <w:tmpl w:val="9AF6791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1">
    <w:nsid w:val="78FE02C1"/>
    <w:multiLevelType w:val="hybridMultilevel"/>
    <w:tmpl w:val="A2481A9E"/>
    <w:lvl w:ilvl="0" w:tplc="B09AB65E">
      <w:start w:val="1"/>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8"/>
  </w:num>
  <w:num w:numId="3">
    <w:abstractNumId w:val="14"/>
  </w:num>
  <w:num w:numId="4">
    <w:abstractNumId w:val="19"/>
  </w:num>
  <w:num w:numId="5">
    <w:abstractNumId w:val="15"/>
  </w:num>
  <w:num w:numId="6">
    <w:abstractNumId w:val="3"/>
  </w:num>
  <w:num w:numId="7">
    <w:abstractNumId w:val="0"/>
  </w:num>
  <w:num w:numId="8">
    <w:abstractNumId w:val="12"/>
  </w:num>
  <w:num w:numId="9">
    <w:abstractNumId w:val="13"/>
  </w:num>
  <w:num w:numId="10">
    <w:abstractNumId w:val="18"/>
  </w:num>
  <w:num w:numId="11">
    <w:abstractNumId w:val="7"/>
  </w:num>
  <w:num w:numId="12">
    <w:abstractNumId w:val="17"/>
  </w:num>
  <w:num w:numId="13">
    <w:abstractNumId w:val="10"/>
  </w:num>
  <w:num w:numId="14">
    <w:abstractNumId w:val="9"/>
  </w:num>
  <w:num w:numId="15">
    <w:abstractNumId w:val="16"/>
  </w:num>
  <w:num w:numId="16">
    <w:abstractNumId w:val="6"/>
  </w:num>
  <w:num w:numId="17">
    <w:abstractNumId w:val="2"/>
  </w:num>
  <w:num w:numId="18">
    <w:abstractNumId w:val="11"/>
  </w:num>
  <w:num w:numId="19">
    <w:abstractNumId w:val="5"/>
  </w:num>
  <w:num w:numId="20">
    <w:abstractNumId w:val="21"/>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4818"/>
  </w:hdrShapeDefaults>
  <w:footnotePr>
    <w:footnote w:id="0"/>
    <w:footnote w:id="1"/>
  </w:footnotePr>
  <w:endnotePr>
    <w:endnote w:id="0"/>
    <w:endnote w:id="1"/>
  </w:endnotePr>
  <w:compat>
    <w:useFELayout/>
  </w:compat>
  <w:rsids>
    <w:rsidRoot w:val="0005710F"/>
    <w:rsid w:val="000015A1"/>
    <w:rsid w:val="00011904"/>
    <w:rsid w:val="00013CF6"/>
    <w:rsid w:val="000150E2"/>
    <w:rsid w:val="00020AEC"/>
    <w:rsid w:val="00022723"/>
    <w:rsid w:val="000240BC"/>
    <w:rsid w:val="00025C27"/>
    <w:rsid w:val="00026F2D"/>
    <w:rsid w:val="000303E7"/>
    <w:rsid w:val="000317D2"/>
    <w:rsid w:val="00032367"/>
    <w:rsid w:val="0003559C"/>
    <w:rsid w:val="00036CB2"/>
    <w:rsid w:val="000376F2"/>
    <w:rsid w:val="00040237"/>
    <w:rsid w:val="00043468"/>
    <w:rsid w:val="000445DD"/>
    <w:rsid w:val="00044711"/>
    <w:rsid w:val="00047088"/>
    <w:rsid w:val="0005710F"/>
    <w:rsid w:val="000677CE"/>
    <w:rsid w:val="00072A9E"/>
    <w:rsid w:val="000760BD"/>
    <w:rsid w:val="00077B8E"/>
    <w:rsid w:val="00080CCA"/>
    <w:rsid w:val="00091699"/>
    <w:rsid w:val="000A696F"/>
    <w:rsid w:val="000A7933"/>
    <w:rsid w:val="000B3BBC"/>
    <w:rsid w:val="000B6B61"/>
    <w:rsid w:val="000C02B1"/>
    <w:rsid w:val="000C6E79"/>
    <w:rsid w:val="000D10B3"/>
    <w:rsid w:val="000D2AC3"/>
    <w:rsid w:val="000D6C55"/>
    <w:rsid w:val="000E5260"/>
    <w:rsid w:val="000E7604"/>
    <w:rsid w:val="000F148F"/>
    <w:rsid w:val="001046A2"/>
    <w:rsid w:val="00106DCC"/>
    <w:rsid w:val="00116808"/>
    <w:rsid w:val="001255CC"/>
    <w:rsid w:val="001307B7"/>
    <w:rsid w:val="00131CCA"/>
    <w:rsid w:val="001357EC"/>
    <w:rsid w:val="001359A8"/>
    <w:rsid w:val="00136492"/>
    <w:rsid w:val="0014295C"/>
    <w:rsid w:val="00150ADB"/>
    <w:rsid w:val="00151D6C"/>
    <w:rsid w:val="0015221E"/>
    <w:rsid w:val="00154CCF"/>
    <w:rsid w:val="00163767"/>
    <w:rsid w:val="00165B26"/>
    <w:rsid w:val="00181A6F"/>
    <w:rsid w:val="00186000"/>
    <w:rsid w:val="00187F43"/>
    <w:rsid w:val="00196D77"/>
    <w:rsid w:val="001971C5"/>
    <w:rsid w:val="00197486"/>
    <w:rsid w:val="001A3079"/>
    <w:rsid w:val="001A3F01"/>
    <w:rsid w:val="001B0557"/>
    <w:rsid w:val="001B0FFA"/>
    <w:rsid w:val="001B60C1"/>
    <w:rsid w:val="001B6789"/>
    <w:rsid w:val="001C2FB5"/>
    <w:rsid w:val="001D0D60"/>
    <w:rsid w:val="001D196A"/>
    <w:rsid w:val="001E39F5"/>
    <w:rsid w:val="001E44C1"/>
    <w:rsid w:val="001E6385"/>
    <w:rsid w:val="001F29EE"/>
    <w:rsid w:val="00200163"/>
    <w:rsid w:val="00201CA5"/>
    <w:rsid w:val="002173E9"/>
    <w:rsid w:val="00220907"/>
    <w:rsid w:val="00230392"/>
    <w:rsid w:val="00232026"/>
    <w:rsid w:val="0024104E"/>
    <w:rsid w:val="0024697D"/>
    <w:rsid w:val="002518A2"/>
    <w:rsid w:val="00253F7B"/>
    <w:rsid w:val="00255550"/>
    <w:rsid w:val="0026462B"/>
    <w:rsid w:val="002648AF"/>
    <w:rsid w:val="00276D2B"/>
    <w:rsid w:val="00276DE2"/>
    <w:rsid w:val="00280E3D"/>
    <w:rsid w:val="00281EFD"/>
    <w:rsid w:val="00287723"/>
    <w:rsid w:val="00290F1F"/>
    <w:rsid w:val="002B1251"/>
    <w:rsid w:val="002B31BA"/>
    <w:rsid w:val="002B6898"/>
    <w:rsid w:val="002C6AAE"/>
    <w:rsid w:val="002D4C84"/>
    <w:rsid w:val="002E16AC"/>
    <w:rsid w:val="002F0C13"/>
    <w:rsid w:val="002F4CC3"/>
    <w:rsid w:val="003074CF"/>
    <w:rsid w:val="00307F17"/>
    <w:rsid w:val="00317255"/>
    <w:rsid w:val="00322318"/>
    <w:rsid w:val="00334488"/>
    <w:rsid w:val="00334EBE"/>
    <w:rsid w:val="00341C9F"/>
    <w:rsid w:val="0034328D"/>
    <w:rsid w:val="003438FD"/>
    <w:rsid w:val="00347E2C"/>
    <w:rsid w:val="0035620A"/>
    <w:rsid w:val="0036481C"/>
    <w:rsid w:val="0036755F"/>
    <w:rsid w:val="00367649"/>
    <w:rsid w:val="00373DD9"/>
    <w:rsid w:val="003757F0"/>
    <w:rsid w:val="00380F44"/>
    <w:rsid w:val="00381F7B"/>
    <w:rsid w:val="00393F00"/>
    <w:rsid w:val="003B4F58"/>
    <w:rsid w:val="003C309C"/>
    <w:rsid w:val="003C7231"/>
    <w:rsid w:val="003D3E8B"/>
    <w:rsid w:val="003D42E8"/>
    <w:rsid w:val="003D5C68"/>
    <w:rsid w:val="003E3428"/>
    <w:rsid w:val="004111EB"/>
    <w:rsid w:val="00411E1F"/>
    <w:rsid w:val="00412D4D"/>
    <w:rsid w:val="00414297"/>
    <w:rsid w:val="00420EEE"/>
    <w:rsid w:val="004225F4"/>
    <w:rsid w:val="004265A5"/>
    <w:rsid w:val="00434C5A"/>
    <w:rsid w:val="00436DC8"/>
    <w:rsid w:val="004458EE"/>
    <w:rsid w:val="004458FD"/>
    <w:rsid w:val="00460B99"/>
    <w:rsid w:val="0046241C"/>
    <w:rsid w:val="00462F6D"/>
    <w:rsid w:val="00473DCE"/>
    <w:rsid w:val="004748AC"/>
    <w:rsid w:val="00480171"/>
    <w:rsid w:val="004860A1"/>
    <w:rsid w:val="00486781"/>
    <w:rsid w:val="004A7B17"/>
    <w:rsid w:val="004B37FF"/>
    <w:rsid w:val="004B406E"/>
    <w:rsid w:val="004B5040"/>
    <w:rsid w:val="004B5FED"/>
    <w:rsid w:val="004C3D21"/>
    <w:rsid w:val="004C4581"/>
    <w:rsid w:val="004E1A92"/>
    <w:rsid w:val="004E3EED"/>
    <w:rsid w:val="005017F5"/>
    <w:rsid w:val="0050385E"/>
    <w:rsid w:val="005071DE"/>
    <w:rsid w:val="005071ED"/>
    <w:rsid w:val="00507B1F"/>
    <w:rsid w:val="00512955"/>
    <w:rsid w:val="0051375B"/>
    <w:rsid w:val="00524F7D"/>
    <w:rsid w:val="00531E4E"/>
    <w:rsid w:val="00552996"/>
    <w:rsid w:val="0055441F"/>
    <w:rsid w:val="0056279D"/>
    <w:rsid w:val="005745F7"/>
    <w:rsid w:val="00582302"/>
    <w:rsid w:val="00585B73"/>
    <w:rsid w:val="0059136E"/>
    <w:rsid w:val="00592D2B"/>
    <w:rsid w:val="00594D2F"/>
    <w:rsid w:val="005A207E"/>
    <w:rsid w:val="005A64DC"/>
    <w:rsid w:val="005B2650"/>
    <w:rsid w:val="005B647B"/>
    <w:rsid w:val="005B6D19"/>
    <w:rsid w:val="005B784C"/>
    <w:rsid w:val="005C15B7"/>
    <w:rsid w:val="005C29A4"/>
    <w:rsid w:val="005C3C0C"/>
    <w:rsid w:val="005D2647"/>
    <w:rsid w:val="005D5606"/>
    <w:rsid w:val="005D6DA4"/>
    <w:rsid w:val="005E0A10"/>
    <w:rsid w:val="005E2F06"/>
    <w:rsid w:val="005F42C4"/>
    <w:rsid w:val="005F4B6C"/>
    <w:rsid w:val="005F7FFA"/>
    <w:rsid w:val="00601E78"/>
    <w:rsid w:val="00606F2B"/>
    <w:rsid w:val="0061164B"/>
    <w:rsid w:val="0062274D"/>
    <w:rsid w:val="00625655"/>
    <w:rsid w:val="00626FF3"/>
    <w:rsid w:val="00641926"/>
    <w:rsid w:val="0065385A"/>
    <w:rsid w:val="006566FC"/>
    <w:rsid w:val="00662721"/>
    <w:rsid w:val="0066367C"/>
    <w:rsid w:val="00667F0C"/>
    <w:rsid w:val="00671B6F"/>
    <w:rsid w:val="00671E9F"/>
    <w:rsid w:val="00672E4F"/>
    <w:rsid w:val="00674D37"/>
    <w:rsid w:val="00677A55"/>
    <w:rsid w:val="00677F11"/>
    <w:rsid w:val="00681F68"/>
    <w:rsid w:val="00682FC9"/>
    <w:rsid w:val="00686B78"/>
    <w:rsid w:val="00691701"/>
    <w:rsid w:val="00695EDA"/>
    <w:rsid w:val="006A0BF8"/>
    <w:rsid w:val="006A3597"/>
    <w:rsid w:val="006A4BAC"/>
    <w:rsid w:val="006A6B12"/>
    <w:rsid w:val="006B257B"/>
    <w:rsid w:val="006B2825"/>
    <w:rsid w:val="006C55F0"/>
    <w:rsid w:val="006C703E"/>
    <w:rsid w:val="006D0897"/>
    <w:rsid w:val="006E31F1"/>
    <w:rsid w:val="006E514E"/>
    <w:rsid w:val="006E6E02"/>
    <w:rsid w:val="006F052D"/>
    <w:rsid w:val="006F603D"/>
    <w:rsid w:val="006F7E56"/>
    <w:rsid w:val="0070086B"/>
    <w:rsid w:val="00705445"/>
    <w:rsid w:val="00712C40"/>
    <w:rsid w:val="00717BC8"/>
    <w:rsid w:val="00734889"/>
    <w:rsid w:val="0073689D"/>
    <w:rsid w:val="0074152A"/>
    <w:rsid w:val="0075211E"/>
    <w:rsid w:val="00777084"/>
    <w:rsid w:val="007833A2"/>
    <w:rsid w:val="00783942"/>
    <w:rsid w:val="00785B94"/>
    <w:rsid w:val="007922ED"/>
    <w:rsid w:val="00796EE9"/>
    <w:rsid w:val="007A618C"/>
    <w:rsid w:val="007B00AE"/>
    <w:rsid w:val="007B0A22"/>
    <w:rsid w:val="007B5B02"/>
    <w:rsid w:val="007C235E"/>
    <w:rsid w:val="007D23B1"/>
    <w:rsid w:val="007D7AD0"/>
    <w:rsid w:val="007E5DB1"/>
    <w:rsid w:val="007F0547"/>
    <w:rsid w:val="007F0AA5"/>
    <w:rsid w:val="007F2197"/>
    <w:rsid w:val="007F38DD"/>
    <w:rsid w:val="007F4601"/>
    <w:rsid w:val="007F4D81"/>
    <w:rsid w:val="007F6C58"/>
    <w:rsid w:val="008006DC"/>
    <w:rsid w:val="0080078E"/>
    <w:rsid w:val="00802CCE"/>
    <w:rsid w:val="00814473"/>
    <w:rsid w:val="00822729"/>
    <w:rsid w:val="00824A29"/>
    <w:rsid w:val="00826A89"/>
    <w:rsid w:val="008278E3"/>
    <w:rsid w:val="008352DA"/>
    <w:rsid w:val="0083725E"/>
    <w:rsid w:val="00844725"/>
    <w:rsid w:val="008447F6"/>
    <w:rsid w:val="00844ECC"/>
    <w:rsid w:val="008551E0"/>
    <w:rsid w:val="00857317"/>
    <w:rsid w:val="00863491"/>
    <w:rsid w:val="00863928"/>
    <w:rsid w:val="0086610C"/>
    <w:rsid w:val="0087225D"/>
    <w:rsid w:val="0087395C"/>
    <w:rsid w:val="00887D82"/>
    <w:rsid w:val="00892E72"/>
    <w:rsid w:val="00893818"/>
    <w:rsid w:val="008958E0"/>
    <w:rsid w:val="008A718A"/>
    <w:rsid w:val="008A762D"/>
    <w:rsid w:val="008B6B48"/>
    <w:rsid w:val="008B6BB9"/>
    <w:rsid w:val="008D479A"/>
    <w:rsid w:val="008D7C84"/>
    <w:rsid w:val="008E1FB8"/>
    <w:rsid w:val="008E6EDD"/>
    <w:rsid w:val="008F0CA3"/>
    <w:rsid w:val="008F298E"/>
    <w:rsid w:val="00907576"/>
    <w:rsid w:val="00911F0C"/>
    <w:rsid w:val="009130B5"/>
    <w:rsid w:val="00915BAE"/>
    <w:rsid w:val="009178BF"/>
    <w:rsid w:val="00920877"/>
    <w:rsid w:val="00926B7E"/>
    <w:rsid w:val="00932FAC"/>
    <w:rsid w:val="00933BCF"/>
    <w:rsid w:val="009368A3"/>
    <w:rsid w:val="00936E0B"/>
    <w:rsid w:val="00940AA5"/>
    <w:rsid w:val="00942E01"/>
    <w:rsid w:val="009437DF"/>
    <w:rsid w:val="00960A43"/>
    <w:rsid w:val="00962291"/>
    <w:rsid w:val="009742CA"/>
    <w:rsid w:val="00980609"/>
    <w:rsid w:val="009815A7"/>
    <w:rsid w:val="00991F0B"/>
    <w:rsid w:val="00993685"/>
    <w:rsid w:val="00994487"/>
    <w:rsid w:val="009B061D"/>
    <w:rsid w:val="009B1328"/>
    <w:rsid w:val="009B14E6"/>
    <w:rsid w:val="009C13E5"/>
    <w:rsid w:val="009C4C69"/>
    <w:rsid w:val="009C59FE"/>
    <w:rsid w:val="009D18AC"/>
    <w:rsid w:val="009D4B0F"/>
    <w:rsid w:val="009D6A21"/>
    <w:rsid w:val="009E0488"/>
    <w:rsid w:val="009E4874"/>
    <w:rsid w:val="009F478D"/>
    <w:rsid w:val="00A02D36"/>
    <w:rsid w:val="00A10E73"/>
    <w:rsid w:val="00A14D05"/>
    <w:rsid w:val="00A44C25"/>
    <w:rsid w:val="00A55C80"/>
    <w:rsid w:val="00A571EC"/>
    <w:rsid w:val="00A6112D"/>
    <w:rsid w:val="00A642CD"/>
    <w:rsid w:val="00A65CDA"/>
    <w:rsid w:val="00A72646"/>
    <w:rsid w:val="00A747A8"/>
    <w:rsid w:val="00A77043"/>
    <w:rsid w:val="00A77418"/>
    <w:rsid w:val="00A81F54"/>
    <w:rsid w:val="00A86D62"/>
    <w:rsid w:val="00A871AF"/>
    <w:rsid w:val="00AA641A"/>
    <w:rsid w:val="00AC7DDF"/>
    <w:rsid w:val="00AD0638"/>
    <w:rsid w:val="00AD0D30"/>
    <w:rsid w:val="00AD2F88"/>
    <w:rsid w:val="00AD3A48"/>
    <w:rsid w:val="00AD7F51"/>
    <w:rsid w:val="00AE0749"/>
    <w:rsid w:val="00AE67A4"/>
    <w:rsid w:val="00AE6970"/>
    <w:rsid w:val="00B00D31"/>
    <w:rsid w:val="00B059ED"/>
    <w:rsid w:val="00B10BFF"/>
    <w:rsid w:val="00B17102"/>
    <w:rsid w:val="00B1795A"/>
    <w:rsid w:val="00B30426"/>
    <w:rsid w:val="00B30F75"/>
    <w:rsid w:val="00B42C17"/>
    <w:rsid w:val="00B433AA"/>
    <w:rsid w:val="00B7168C"/>
    <w:rsid w:val="00B74571"/>
    <w:rsid w:val="00B75F82"/>
    <w:rsid w:val="00B85B0C"/>
    <w:rsid w:val="00B8713F"/>
    <w:rsid w:val="00B90C90"/>
    <w:rsid w:val="00B90FA4"/>
    <w:rsid w:val="00B96671"/>
    <w:rsid w:val="00B9758C"/>
    <w:rsid w:val="00BB1744"/>
    <w:rsid w:val="00BB230B"/>
    <w:rsid w:val="00BC1487"/>
    <w:rsid w:val="00BC7222"/>
    <w:rsid w:val="00BD0E6C"/>
    <w:rsid w:val="00BD7647"/>
    <w:rsid w:val="00BE19F5"/>
    <w:rsid w:val="00BE1AF0"/>
    <w:rsid w:val="00BF66A8"/>
    <w:rsid w:val="00C07FC2"/>
    <w:rsid w:val="00C15B0B"/>
    <w:rsid w:val="00C1770A"/>
    <w:rsid w:val="00C20341"/>
    <w:rsid w:val="00C23BCE"/>
    <w:rsid w:val="00C26D8B"/>
    <w:rsid w:val="00C33360"/>
    <w:rsid w:val="00C35F6E"/>
    <w:rsid w:val="00C46825"/>
    <w:rsid w:val="00C46882"/>
    <w:rsid w:val="00C514CA"/>
    <w:rsid w:val="00C52AFF"/>
    <w:rsid w:val="00C53914"/>
    <w:rsid w:val="00C55A85"/>
    <w:rsid w:val="00C61243"/>
    <w:rsid w:val="00C61858"/>
    <w:rsid w:val="00C6592A"/>
    <w:rsid w:val="00C75860"/>
    <w:rsid w:val="00C82255"/>
    <w:rsid w:val="00C90742"/>
    <w:rsid w:val="00CA41C9"/>
    <w:rsid w:val="00CA4C38"/>
    <w:rsid w:val="00CA6874"/>
    <w:rsid w:val="00CA7B7B"/>
    <w:rsid w:val="00CB549A"/>
    <w:rsid w:val="00CB607A"/>
    <w:rsid w:val="00CC11C4"/>
    <w:rsid w:val="00CC2157"/>
    <w:rsid w:val="00CC75B0"/>
    <w:rsid w:val="00CD0965"/>
    <w:rsid w:val="00CD0EDE"/>
    <w:rsid w:val="00CE58CA"/>
    <w:rsid w:val="00D054C0"/>
    <w:rsid w:val="00D06D74"/>
    <w:rsid w:val="00D13B42"/>
    <w:rsid w:val="00D21E2C"/>
    <w:rsid w:val="00D26849"/>
    <w:rsid w:val="00D27E03"/>
    <w:rsid w:val="00D30E12"/>
    <w:rsid w:val="00D36C0C"/>
    <w:rsid w:val="00D4386F"/>
    <w:rsid w:val="00D450F6"/>
    <w:rsid w:val="00D5109A"/>
    <w:rsid w:val="00D51186"/>
    <w:rsid w:val="00D64777"/>
    <w:rsid w:val="00D702EC"/>
    <w:rsid w:val="00D72C26"/>
    <w:rsid w:val="00D753B3"/>
    <w:rsid w:val="00D77ACF"/>
    <w:rsid w:val="00D82188"/>
    <w:rsid w:val="00D87505"/>
    <w:rsid w:val="00D87A82"/>
    <w:rsid w:val="00D94442"/>
    <w:rsid w:val="00DA7A75"/>
    <w:rsid w:val="00DC737A"/>
    <w:rsid w:val="00DC7BCF"/>
    <w:rsid w:val="00DD10BF"/>
    <w:rsid w:val="00DD5E5F"/>
    <w:rsid w:val="00DD6846"/>
    <w:rsid w:val="00DE620E"/>
    <w:rsid w:val="00E024F6"/>
    <w:rsid w:val="00E041E7"/>
    <w:rsid w:val="00E06B5D"/>
    <w:rsid w:val="00E21F43"/>
    <w:rsid w:val="00E22033"/>
    <w:rsid w:val="00E2532D"/>
    <w:rsid w:val="00E313EC"/>
    <w:rsid w:val="00E345D6"/>
    <w:rsid w:val="00E34F45"/>
    <w:rsid w:val="00E37421"/>
    <w:rsid w:val="00E42F96"/>
    <w:rsid w:val="00E464B4"/>
    <w:rsid w:val="00E53021"/>
    <w:rsid w:val="00E53C33"/>
    <w:rsid w:val="00E57F27"/>
    <w:rsid w:val="00E61578"/>
    <w:rsid w:val="00E647B8"/>
    <w:rsid w:val="00E7604C"/>
    <w:rsid w:val="00E83740"/>
    <w:rsid w:val="00E8499D"/>
    <w:rsid w:val="00E92A80"/>
    <w:rsid w:val="00EA2DCE"/>
    <w:rsid w:val="00EA59FC"/>
    <w:rsid w:val="00EA71D4"/>
    <w:rsid w:val="00EA7624"/>
    <w:rsid w:val="00EA7D55"/>
    <w:rsid w:val="00EB28AC"/>
    <w:rsid w:val="00EC4975"/>
    <w:rsid w:val="00ED0154"/>
    <w:rsid w:val="00ED5559"/>
    <w:rsid w:val="00EE22E3"/>
    <w:rsid w:val="00EF2CCF"/>
    <w:rsid w:val="00EF5444"/>
    <w:rsid w:val="00EF578D"/>
    <w:rsid w:val="00F15462"/>
    <w:rsid w:val="00F16DCB"/>
    <w:rsid w:val="00F2151B"/>
    <w:rsid w:val="00F21670"/>
    <w:rsid w:val="00F279DC"/>
    <w:rsid w:val="00F34509"/>
    <w:rsid w:val="00F41FBB"/>
    <w:rsid w:val="00F427D5"/>
    <w:rsid w:val="00F53138"/>
    <w:rsid w:val="00F55752"/>
    <w:rsid w:val="00F60483"/>
    <w:rsid w:val="00F63EE1"/>
    <w:rsid w:val="00F651B5"/>
    <w:rsid w:val="00F66399"/>
    <w:rsid w:val="00F706F3"/>
    <w:rsid w:val="00F7424F"/>
    <w:rsid w:val="00F830E0"/>
    <w:rsid w:val="00F83233"/>
    <w:rsid w:val="00F83E63"/>
    <w:rsid w:val="00F86DFC"/>
    <w:rsid w:val="00F9097B"/>
    <w:rsid w:val="00F9157A"/>
    <w:rsid w:val="00F936F4"/>
    <w:rsid w:val="00F96826"/>
    <w:rsid w:val="00FA6FF7"/>
    <w:rsid w:val="00FA768A"/>
    <w:rsid w:val="00FA7EDB"/>
    <w:rsid w:val="00FB1DF4"/>
    <w:rsid w:val="00FB3708"/>
    <w:rsid w:val="00FC5F19"/>
    <w:rsid w:val="00FD1322"/>
    <w:rsid w:val="00FD1A8F"/>
    <w:rsid w:val="00FD2B6C"/>
    <w:rsid w:val="00FE1CA2"/>
    <w:rsid w:val="00FE3E48"/>
    <w:rsid w:val="00FE5A38"/>
    <w:rsid w:val="00FE7BCB"/>
    <w:rsid w:val="00FF6ADB"/>
    <w:rsid w:val="00FF7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09"/>
  </w:style>
  <w:style w:type="paragraph" w:styleId="1">
    <w:name w:val="heading 1"/>
    <w:basedOn w:val="a"/>
    <w:next w:val="a"/>
    <w:link w:val="1Char"/>
    <w:uiPriority w:val="9"/>
    <w:qFormat/>
    <w:rsid w:val="00462F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268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71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710F"/>
    <w:rPr>
      <w:b/>
      <w:bCs/>
    </w:rPr>
  </w:style>
  <w:style w:type="paragraph" w:styleId="a5">
    <w:name w:val="Balloon Text"/>
    <w:basedOn w:val="a"/>
    <w:link w:val="Char"/>
    <w:uiPriority w:val="99"/>
    <w:semiHidden/>
    <w:unhideWhenUsed/>
    <w:rsid w:val="0005710F"/>
    <w:pPr>
      <w:spacing w:after="0" w:line="240" w:lineRule="auto"/>
    </w:pPr>
    <w:rPr>
      <w:rFonts w:ascii="Tahoma" w:hAnsi="Tahoma" w:cs="Tahoma"/>
      <w:sz w:val="16"/>
      <w:szCs w:val="16"/>
    </w:rPr>
  </w:style>
  <w:style w:type="character" w:customStyle="1" w:styleId="Char">
    <w:name w:val="批注框文本 Char"/>
    <w:basedOn w:val="a0"/>
    <w:link w:val="a5"/>
    <w:uiPriority w:val="99"/>
    <w:semiHidden/>
    <w:rsid w:val="0005710F"/>
    <w:rPr>
      <w:rFonts w:ascii="Tahoma" w:hAnsi="Tahoma" w:cs="Tahoma"/>
      <w:sz w:val="16"/>
      <w:szCs w:val="16"/>
    </w:rPr>
  </w:style>
  <w:style w:type="paragraph" w:styleId="a6">
    <w:name w:val="header"/>
    <w:basedOn w:val="a"/>
    <w:link w:val="Char0"/>
    <w:uiPriority w:val="99"/>
    <w:unhideWhenUsed/>
    <w:rsid w:val="002648AF"/>
    <w:pPr>
      <w:tabs>
        <w:tab w:val="center" w:pos="4153"/>
        <w:tab w:val="right" w:pos="8306"/>
      </w:tabs>
      <w:spacing w:after="0" w:line="240" w:lineRule="auto"/>
    </w:pPr>
  </w:style>
  <w:style w:type="character" w:customStyle="1" w:styleId="Char0">
    <w:name w:val="页眉 Char"/>
    <w:basedOn w:val="a0"/>
    <w:link w:val="a6"/>
    <w:uiPriority w:val="99"/>
    <w:rsid w:val="002648AF"/>
  </w:style>
  <w:style w:type="paragraph" w:styleId="a7">
    <w:name w:val="footer"/>
    <w:basedOn w:val="a"/>
    <w:link w:val="Char1"/>
    <w:uiPriority w:val="99"/>
    <w:unhideWhenUsed/>
    <w:rsid w:val="002648AF"/>
    <w:pPr>
      <w:tabs>
        <w:tab w:val="center" w:pos="4153"/>
        <w:tab w:val="right" w:pos="8306"/>
      </w:tabs>
      <w:spacing w:after="0" w:line="240" w:lineRule="auto"/>
    </w:pPr>
  </w:style>
  <w:style w:type="character" w:customStyle="1" w:styleId="Char1">
    <w:name w:val="页脚 Char"/>
    <w:basedOn w:val="a0"/>
    <w:link w:val="a7"/>
    <w:uiPriority w:val="99"/>
    <w:rsid w:val="002648AF"/>
  </w:style>
  <w:style w:type="paragraph" w:styleId="a8">
    <w:name w:val="List Paragraph"/>
    <w:basedOn w:val="a"/>
    <w:uiPriority w:val="34"/>
    <w:qFormat/>
    <w:rsid w:val="00626FF3"/>
    <w:pPr>
      <w:widowControl w:val="0"/>
      <w:spacing w:after="0" w:line="300" w:lineRule="auto"/>
      <w:ind w:left="720"/>
      <w:contextualSpacing/>
      <w:jc w:val="both"/>
    </w:pPr>
    <w:rPr>
      <w:rFonts w:ascii="Calibri" w:eastAsia="宋体" w:hAnsi="Calibri" w:cs="Times New Roman"/>
      <w:kern w:val="2"/>
      <w:sz w:val="24"/>
      <w:lang w:val="en-US"/>
    </w:rPr>
  </w:style>
  <w:style w:type="character" w:styleId="a9">
    <w:name w:val="annotation reference"/>
    <w:basedOn w:val="a0"/>
    <w:uiPriority w:val="99"/>
    <w:semiHidden/>
    <w:unhideWhenUsed/>
    <w:rsid w:val="00F86DFC"/>
    <w:rPr>
      <w:sz w:val="21"/>
      <w:szCs w:val="21"/>
    </w:rPr>
  </w:style>
  <w:style w:type="paragraph" w:styleId="aa">
    <w:name w:val="annotation text"/>
    <w:basedOn w:val="a"/>
    <w:link w:val="Char2"/>
    <w:uiPriority w:val="99"/>
    <w:semiHidden/>
    <w:unhideWhenUsed/>
    <w:rsid w:val="00F86DFC"/>
    <w:rPr>
      <w:lang w:val="en-US"/>
    </w:rPr>
  </w:style>
  <w:style w:type="character" w:customStyle="1" w:styleId="Char2">
    <w:name w:val="批注文字 Char"/>
    <w:basedOn w:val="a0"/>
    <w:link w:val="aa"/>
    <w:uiPriority w:val="99"/>
    <w:semiHidden/>
    <w:rsid w:val="00F86DFC"/>
    <w:rPr>
      <w:lang w:val="en-US"/>
    </w:rPr>
  </w:style>
  <w:style w:type="paragraph" w:styleId="ab">
    <w:name w:val="Title"/>
    <w:basedOn w:val="a"/>
    <w:next w:val="a"/>
    <w:link w:val="Char3"/>
    <w:uiPriority w:val="10"/>
    <w:qFormat/>
    <w:rsid w:val="00F86DFC"/>
    <w:pPr>
      <w:spacing w:before="240" w:after="60"/>
      <w:jc w:val="center"/>
      <w:outlineLvl w:val="0"/>
    </w:pPr>
    <w:rPr>
      <w:rFonts w:asciiTheme="majorHAnsi" w:eastAsia="宋体" w:hAnsiTheme="majorHAnsi" w:cstheme="majorBidi"/>
      <w:b/>
      <w:bCs/>
      <w:sz w:val="32"/>
      <w:szCs w:val="32"/>
      <w:lang w:val="en-US"/>
    </w:rPr>
  </w:style>
  <w:style w:type="character" w:customStyle="1" w:styleId="Char3">
    <w:name w:val="标题 Char"/>
    <w:basedOn w:val="a0"/>
    <w:link w:val="ab"/>
    <w:uiPriority w:val="10"/>
    <w:rsid w:val="00F86DFC"/>
    <w:rPr>
      <w:rFonts w:asciiTheme="majorHAnsi" w:eastAsia="宋体" w:hAnsiTheme="majorHAnsi" w:cstheme="majorBidi"/>
      <w:b/>
      <w:bCs/>
      <w:sz w:val="32"/>
      <w:szCs w:val="32"/>
      <w:lang w:val="en-US"/>
    </w:rPr>
  </w:style>
  <w:style w:type="character" w:customStyle="1" w:styleId="1Char">
    <w:name w:val="标题 1 Char"/>
    <w:basedOn w:val="a0"/>
    <w:link w:val="1"/>
    <w:uiPriority w:val="9"/>
    <w:rsid w:val="00462F6D"/>
    <w:rPr>
      <w:rFonts w:asciiTheme="majorHAnsi" w:eastAsiaTheme="majorEastAsia" w:hAnsiTheme="majorHAnsi" w:cstheme="majorBidi"/>
      <w:b/>
      <w:bCs/>
      <w:color w:val="365F91" w:themeColor="accent1" w:themeShade="BF"/>
      <w:sz w:val="28"/>
      <w:szCs w:val="28"/>
    </w:rPr>
  </w:style>
  <w:style w:type="paragraph" w:styleId="TOC">
    <w:name w:val="TOC Heading"/>
    <w:basedOn w:val="1"/>
    <w:next w:val="a"/>
    <w:uiPriority w:val="39"/>
    <w:unhideWhenUsed/>
    <w:qFormat/>
    <w:rsid w:val="00462F6D"/>
    <w:pPr>
      <w:outlineLvl w:val="9"/>
    </w:pPr>
    <w:rPr>
      <w:lang w:val="en-US" w:eastAsia="ja-JP"/>
    </w:rPr>
  </w:style>
  <w:style w:type="paragraph" w:styleId="10">
    <w:name w:val="toc 1"/>
    <w:basedOn w:val="a"/>
    <w:next w:val="a"/>
    <w:autoRedefine/>
    <w:uiPriority w:val="39"/>
    <w:unhideWhenUsed/>
    <w:rsid w:val="00462F6D"/>
    <w:pPr>
      <w:spacing w:after="100"/>
    </w:pPr>
  </w:style>
  <w:style w:type="character" w:styleId="ac">
    <w:name w:val="Hyperlink"/>
    <w:basedOn w:val="a0"/>
    <w:uiPriority w:val="99"/>
    <w:unhideWhenUsed/>
    <w:rsid w:val="00462F6D"/>
    <w:rPr>
      <w:color w:val="0000FF" w:themeColor="hyperlink"/>
      <w:u w:val="single"/>
    </w:rPr>
  </w:style>
  <w:style w:type="paragraph" w:styleId="ad">
    <w:name w:val="annotation subject"/>
    <w:basedOn w:val="aa"/>
    <w:next w:val="aa"/>
    <w:link w:val="Char4"/>
    <w:uiPriority w:val="99"/>
    <w:semiHidden/>
    <w:unhideWhenUsed/>
    <w:rsid w:val="00712C40"/>
    <w:pPr>
      <w:spacing w:line="240" w:lineRule="auto"/>
    </w:pPr>
    <w:rPr>
      <w:b/>
      <w:bCs/>
      <w:sz w:val="20"/>
      <w:szCs w:val="20"/>
      <w:lang w:val="en-GB"/>
    </w:rPr>
  </w:style>
  <w:style w:type="character" w:customStyle="1" w:styleId="Char4">
    <w:name w:val="批注主题 Char"/>
    <w:basedOn w:val="Char2"/>
    <w:link w:val="ad"/>
    <w:uiPriority w:val="99"/>
    <w:semiHidden/>
    <w:rsid w:val="00712C40"/>
    <w:rPr>
      <w:b/>
      <w:bCs/>
      <w:sz w:val="20"/>
      <w:szCs w:val="20"/>
      <w:lang w:val="en-US"/>
    </w:rPr>
  </w:style>
  <w:style w:type="character" w:customStyle="1" w:styleId="2Char">
    <w:name w:val="标题 2 Char"/>
    <w:basedOn w:val="a0"/>
    <w:link w:val="2"/>
    <w:uiPriority w:val="9"/>
    <w:rsid w:val="00D26849"/>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991F0B"/>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Heading1Char"/>
    <w:uiPriority w:val="9"/>
    <w:qFormat/>
    <w:rsid w:val="00462F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Heading2Char"/>
    <w:uiPriority w:val="9"/>
    <w:unhideWhenUsed/>
    <w:qFormat/>
    <w:rsid w:val="00D268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71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710F"/>
    <w:rPr>
      <w:b/>
      <w:bCs/>
    </w:rPr>
  </w:style>
  <w:style w:type="paragraph" w:styleId="a5">
    <w:name w:val="Balloon Text"/>
    <w:basedOn w:val="a"/>
    <w:link w:val="BalloonTextChar"/>
    <w:uiPriority w:val="99"/>
    <w:semiHidden/>
    <w:unhideWhenUsed/>
    <w:rsid w:val="0005710F"/>
    <w:pPr>
      <w:spacing w:after="0" w:line="240" w:lineRule="auto"/>
    </w:pPr>
    <w:rPr>
      <w:rFonts w:ascii="Tahoma" w:hAnsi="Tahoma" w:cs="Tahoma"/>
      <w:sz w:val="16"/>
      <w:szCs w:val="16"/>
    </w:rPr>
  </w:style>
  <w:style w:type="character" w:customStyle="1" w:styleId="BalloonTextChar">
    <w:name w:val="Balloon Text Char"/>
    <w:basedOn w:val="a0"/>
    <w:link w:val="a5"/>
    <w:uiPriority w:val="99"/>
    <w:semiHidden/>
    <w:rsid w:val="0005710F"/>
    <w:rPr>
      <w:rFonts w:ascii="Tahoma" w:hAnsi="Tahoma" w:cs="Tahoma"/>
      <w:sz w:val="16"/>
      <w:szCs w:val="16"/>
    </w:rPr>
  </w:style>
  <w:style w:type="paragraph" w:styleId="a6">
    <w:name w:val="header"/>
    <w:basedOn w:val="a"/>
    <w:link w:val="HeaderChar"/>
    <w:uiPriority w:val="99"/>
    <w:unhideWhenUsed/>
    <w:rsid w:val="002648AF"/>
    <w:pPr>
      <w:tabs>
        <w:tab w:val="center" w:pos="4153"/>
        <w:tab w:val="right" w:pos="8306"/>
      </w:tabs>
      <w:spacing w:after="0" w:line="240" w:lineRule="auto"/>
    </w:pPr>
  </w:style>
  <w:style w:type="character" w:customStyle="1" w:styleId="HeaderChar">
    <w:name w:val="Header Char"/>
    <w:basedOn w:val="a0"/>
    <w:link w:val="a6"/>
    <w:uiPriority w:val="99"/>
    <w:rsid w:val="002648AF"/>
  </w:style>
  <w:style w:type="paragraph" w:styleId="a7">
    <w:name w:val="footer"/>
    <w:basedOn w:val="a"/>
    <w:link w:val="FooterChar"/>
    <w:uiPriority w:val="99"/>
    <w:unhideWhenUsed/>
    <w:rsid w:val="002648AF"/>
    <w:pPr>
      <w:tabs>
        <w:tab w:val="center" w:pos="4153"/>
        <w:tab w:val="right" w:pos="8306"/>
      </w:tabs>
      <w:spacing w:after="0" w:line="240" w:lineRule="auto"/>
    </w:pPr>
  </w:style>
  <w:style w:type="character" w:customStyle="1" w:styleId="FooterChar">
    <w:name w:val="Footer Char"/>
    <w:basedOn w:val="a0"/>
    <w:link w:val="a7"/>
    <w:uiPriority w:val="99"/>
    <w:rsid w:val="002648AF"/>
  </w:style>
  <w:style w:type="paragraph" w:styleId="a8">
    <w:name w:val="List Paragraph"/>
    <w:basedOn w:val="a"/>
    <w:uiPriority w:val="34"/>
    <w:qFormat/>
    <w:rsid w:val="00626FF3"/>
    <w:pPr>
      <w:widowControl w:val="0"/>
      <w:spacing w:after="0" w:line="300" w:lineRule="auto"/>
      <w:ind w:left="720"/>
      <w:contextualSpacing/>
      <w:jc w:val="both"/>
    </w:pPr>
    <w:rPr>
      <w:rFonts w:ascii="Calibri" w:eastAsia="宋体" w:hAnsi="Calibri" w:cs="Times New Roman"/>
      <w:kern w:val="2"/>
      <w:sz w:val="24"/>
      <w:lang w:val="en-US"/>
    </w:rPr>
  </w:style>
  <w:style w:type="character" w:styleId="a9">
    <w:name w:val="annotation reference"/>
    <w:basedOn w:val="a0"/>
    <w:uiPriority w:val="99"/>
    <w:semiHidden/>
    <w:unhideWhenUsed/>
    <w:rsid w:val="00F86DFC"/>
    <w:rPr>
      <w:sz w:val="21"/>
      <w:szCs w:val="21"/>
    </w:rPr>
  </w:style>
  <w:style w:type="paragraph" w:styleId="aa">
    <w:name w:val="annotation text"/>
    <w:basedOn w:val="a"/>
    <w:link w:val="CommentTextChar"/>
    <w:uiPriority w:val="99"/>
    <w:semiHidden/>
    <w:unhideWhenUsed/>
    <w:rsid w:val="00F86DFC"/>
    <w:rPr>
      <w:lang w:val="en-US"/>
    </w:rPr>
  </w:style>
  <w:style w:type="character" w:customStyle="1" w:styleId="CommentTextChar">
    <w:name w:val="Comment Text Char"/>
    <w:basedOn w:val="a0"/>
    <w:link w:val="aa"/>
    <w:uiPriority w:val="99"/>
    <w:semiHidden/>
    <w:rsid w:val="00F86DFC"/>
    <w:rPr>
      <w:lang w:val="en-US"/>
    </w:rPr>
  </w:style>
  <w:style w:type="paragraph" w:styleId="ab">
    <w:name w:val="Title"/>
    <w:basedOn w:val="a"/>
    <w:next w:val="a"/>
    <w:link w:val="TitleChar"/>
    <w:uiPriority w:val="10"/>
    <w:qFormat/>
    <w:rsid w:val="00F86DFC"/>
    <w:pPr>
      <w:spacing w:before="240" w:after="60"/>
      <w:jc w:val="center"/>
      <w:outlineLvl w:val="0"/>
    </w:pPr>
    <w:rPr>
      <w:rFonts w:asciiTheme="majorHAnsi" w:eastAsia="宋体" w:hAnsiTheme="majorHAnsi" w:cstheme="majorBidi"/>
      <w:b/>
      <w:bCs/>
      <w:sz w:val="32"/>
      <w:szCs w:val="32"/>
      <w:lang w:val="en-US"/>
    </w:rPr>
  </w:style>
  <w:style w:type="character" w:customStyle="1" w:styleId="TitleChar">
    <w:name w:val="Title Char"/>
    <w:basedOn w:val="a0"/>
    <w:link w:val="ab"/>
    <w:uiPriority w:val="10"/>
    <w:rsid w:val="00F86DFC"/>
    <w:rPr>
      <w:rFonts w:asciiTheme="majorHAnsi" w:eastAsia="宋体" w:hAnsiTheme="majorHAnsi" w:cstheme="majorBidi"/>
      <w:b/>
      <w:bCs/>
      <w:sz w:val="32"/>
      <w:szCs w:val="32"/>
      <w:lang w:val="en-US"/>
    </w:rPr>
  </w:style>
  <w:style w:type="character" w:customStyle="1" w:styleId="Heading1Char">
    <w:name w:val="Heading 1 Char"/>
    <w:basedOn w:val="a0"/>
    <w:link w:val="1"/>
    <w:uiPriority w:val="9"/>
    <w:rsid w:val="00462F6D"/>
    <w:rPr>
      <w:rFonts w:asciiTheme="majorHAnsi" w:eastAsiaTheme="majorEastAsia" w:hAnsiTheme="majorHAnsi" w:cstheme="majorBidi"/>
      <w:b/>
      <w:bCs/>
      <w:color w:val="365F91" w:themeColor="accent1" w:themeShade="BF"/>
      <w:sz w:val="28"/>
      <w:szCs w:val="28"/>
    </w:rPr>
  </w:style>
  <w:style w:type="paragraph" w:styleId="TOC">
    <w:name w:val="TOC Heading"/>
    <w:basedOn w:val="1"/>
    <w:next w:val="a"/>
    <w:uiPriority w:val="39"/>
    <w:unhideWhenUsed/>
    <w:qFormat/>
    <w:rsid w:val="00462F6D"/>
    <w:pPr>
      <w:outlineLvl w:val="9"/>
    </w:pPr>
    <w:rPr>
      <w:lang w:val="en-US" w:eastAsia="ja-JP"/>
    </w:rPr>
  </w:style>
  <w:style w:type="paragraph" w:styleId="10">
    <w:name w:val="toc 1"/>
    <w:basedOn w:val="a"/>
    <w:next w:val="a"/>
    <w:autoRedefine/>
    <w:uiPriority w:val="39"/>
    <w:unhideWhenUsed/>
    <w:rsid w:val="00462F6D"/>
    <w:pPr>
      <w:spacing w:after="100"/>
    </w:pPr>
  </w:style>
  <w:style w:type="character" w:styleId="ac">
    <w:name w:val="Hyperlink"/>
    <w:basedOn w:val="a0"/>
    <w:uiPriority w:val="99"/>
    <w:unhideWhenUsed/>
    <w:rsid w:val="00462F6D"/>
    <w:rPr>
      <w:color w:val="0000FF" w:themeColor="hyperlink"/>
      <w:u w:val="single"/>
    </w:rPr>
  </w:style>
  <w:style w:type="paragraph" w:styleId="ad">
    <w:name w:val="annotation subject"/>
    <w:basedOn w:val="aa"/>
    <w:next w:val="aa"/>
    <w:link w:val="CommentSubjectChar"/>
    <w:uiPriority w:val="99"/>
    <w:semiHidden/>
    <w:unhideWhenUsed/>
    <w:rsid w:val="00712C40"/>
    <w:pPr>
      <w:spacing w:line="240" w:lineRule="auto"/>
    </w:pPr>
    <w:rPr>
      <w:b/>
      <w:bCs/>
      <w:sz w:val="20"/>
      <w:szCs w:val="20"/>
      <w:lang w:val="en-GB"/>
    </w:rPr>
  </w:style>
  <w:style w:type="character" w:customStyle="1" w:styleId="CommentSubjectChar">
    <w:name w:val="Comment Subject Char"/>
    <w:basedOn w:val="CommentTextChar"/>
    <w:link w:val="ad"/>
    <w:uiPriority w:val="99"/>
    <w:semiHidden/>
    <w:rsid w:val="00712C40"/>
    <w:rPr>
      <w:b/>
      <w:bCs/>
      <w:sz w:val="20"/>
      <w:szCs w:val="20"/>
      <w:lang w:val="en-US"/>
    </w:rPr>
  </w:style>
  <w:style w:type="character" w:customStyle="1" w:styleId="Heading2Char">
    <w:name w:val="Heading 2 Char"/>
    <w:basedOn w:val="a0"/>
    <w:link w:val="2"/>
    <w:uiPriority w:val="9"/>
    <w:rsid w:val="00D26849"/>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991F0B"/>
    <w:pPr>
      <w:ind w:leftChars="200" w:left="420"/>
    </w:pPr>
  </w:style>
</w:styles>
</file>

<file path=word/webSettings.xml><?xml version="1.0" encoding="utf-8"?>
<w:webSettings xmlns:r="http://schemas.openxmlformats.org/officeDocument/2006/relationships" xmlns:w="http://schemas.openxmlformats.org/wordprocessingml/2006/main">
  <w:divs>
    <w:div w:id="714157744">
      <w:bodyDiv w:val="1"/>
      <w:marLeft w:val="0"/>
      <w:marRight w:val="0"/>
      <w:marTop w:val="0"/>
      <w:marBottom w:val="0"/>
      <w:divBdr>
        <w:top w:val="none" w:sz="0" w:space="0" w:color="auto"/>
        <w:left w:val="none" w:sz="0" w:space="0" w:color="auto"/>
        <w:bottom w:val="none" w:sz="0" w:space="0" w:color="auto"/>
        <w:right w:val="none" w:sz="0" w:space="0" w:color="auto"/>
      </w:divBdr>
      <w:divsChild>
        <w:div w:id="382365241">
          <w:marLeft w:val="0"/>
          <w:marRight w:val="0"/>
          <w:marTop w:val="0"/>
          <w:marBottom w:val="0"/>
          <w:divBdr>
            <w:top w:val="none" w:sz="0" w:space="0" w:color="auto"/>
            <w:left w:val="none" w:sz="0" w:space="0" w:color="auto"/>
            <w:bottom w:val="none" w:sz="0" w:space="0" w:color="auto"/>
            <w:right w:val="none" w:sz="0" w:space="0" w:color="auto"/>
          </w:divBdr>
          <w:divsChild>
            <w:div w:id="1922444301">
              <w:marLeft w:val="0"/>
              <w:marRight w:val="0"/>
              <w:marTop w:val="0"/>
              <w:marBottom w:val="0"/>
              <w:divBdr>
                <w:top w:val="none" w:sz="0" w:space="0" w:color="auto"/>
                <w:left w:val="none" w:sz="0" w:space="0" w:color="auto"/>
                <w:bottom w:val="none" w:sz="0" w:space="0" w:color="auto"/>
                <w:right w:val="none" w:sz="0" w:space="0" w:color="auto"/>
              </w:divBdr>
              <w:divsChild>
                <w:div w:id="1282881539">
                  <w:marLeft w:val="0"/>
                  <w:marRight w:val="0"/>
                  <w:marTop w:val="0"/>
                  <w:marBottom w:val="0"/>
                  <w:divBdr>
                    <w:top w:val="single" w:sz="6" w:space="0" w:color="E8E8E8"/>
                    <w:left w:val="none" w:sz="0" w:space="0" w:color="auto"/>
                    <w:bottom w:val="single" w:sz="6" w:space="0" w:color="CCCCCC"/>
                    <w:right w:val="none" w:sz="0" w:space="0" w:color="auto"/>
                  </w:divBdr>
                </w:div>
              </w:divsChild>
            </w:div>
          </w:divsChild>
        </w:div>
      </w:divsChild>
    </w:div>
    <w:div w:id="14927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BEBB-246D-4DE3-9A52-34BF17AF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Oliven Li</dc:creator>
  <cp:lastModifiedBy>邢武雷</cp:lastModifiedBy>
  <cp:revision>20</cp:revision>
  <cp:lastPrinted>2015-09-11T08:58:00Z</cp:lastPrinted>
  <dcterms:created xsi:type="dcterms:W3CDTF">2015-06-09T02:55:00Z</dcterms:created>
  <dcterms:modified xsi:type="dcterms:W3CDTF">2015-09-28T08:22:00Z</dcterms:modified>
</cp:coreProperties>
</file>